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Default Extension="fntdata" ContentType="application/x-fontdata"/>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item1.xml" ContentType="application/xml"/>
  <Override PartName="/customXml/_rels/item1.xml.rels" ContentType="application/vnd.openxmlformats-package.relationships+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jc w:val="center"/>
        <w:rPr>
          <w:rStyle w:val="Strong"/>
          <w:rFonts w:ascii="Arial" w:hAnsi="Arial" w:eastAsia="Times New Roman" w:cs="Arial"/>
          <w:sz w:val="17"/>
          <w:szCs w:val="17"/>
        </w:rPr>
      </w:pPr>
      <w:r>
        <w:rPr>
          <w:rStyle w:val="Strong"/>
          <w:rFonts w:eastAsia="Times New Roman" w:cs="Arial" w:ascii="Arial" w:hAnsi="Arial"/>
          <w:sz w:val="16"/>
          <w:szCs w:val="16"/>
        </w:rPr>
        <w:t xml:space="preserve">Договор на оказание платных медицинских услуг </w:t>
      </w:r>
    </w:p>
    <w:p>
      <w:pPr>
        <w:pStyle w:val="Normal"/>
        <w:jc w:val="center"/>
        <w:rPr>
          <w:rFonts w:ascii="Arial" w:hAnsi="Arial" w:eastAsia="Times New Roman" w:cs="Arial"/>
          <w:b/>
          <w:sz w:val="16"/>
          <w:szCs w:val="16"/>
        </w:rPr>
      </w:pPr>
      <w:r>
        <w:rPr>
          <w:rFonts w:eastAsia="Times New Roman" w:cs="Arial" w:ascii="Arial" w:hAnsi="Arial"/>
          <w:b/>
          <w:sz w:val="16"/>
          <w:szCs w:val="16"/>
        </w:rPr>
        <w:t>(медицинский осмотр — освидетельствование)</w:t>
      </w:r>
    </w:p>
    <w:tbl>
      <w:tblPr>
        <w:tblW w:w="10480" w:type="dxa"/>
        <w:jc w:val="center"/>
        <w:tblInd w:w="0" w:type="dxa"/>
        <w:tblLayout w:type="fixed"/>
        <w:tblCellMar>
          <w:top w:w="12" w:type="dxa"/>
          <w:start w:w="12" w:type="dxa"/>
          <w:bottom w:w="12" w:type="dxa"/>
          <w:end w:w="12" w:type="dxa"/>
        </w:tblCellMar>
        <w:tblLook w:val="04a0" w:noHBand="0" w:noVBand="1" w:firstColumn="1" w:lastRow="0" w:lastColumn="0" w:firstRow="1"/>
      </w:tblPr>
      <w:tblGrid>
        <w:gridCol w:w="3962"/>
        <w:gridCol w:w="6518"/>
      </w:tblGrid>
      <w:tr>
        <w:trPr>
          <w:trHeight w:val="347" w:hRule="atLeast"/>
        </w:trPr>
        <w:tc>
          <w:tcPr>
            <w:tcW w:w="3962" w:type="dxa"/>
            <w:tcBorders/>
            <w:vAlign w:val="center"/>
          </w:tcPr>
          <w:p>
            <w:pPr>
              <w:pStyle w:val="Normal"/>
              <w:rPr>
                <w:sz w:val="16"/>
                <w:szCs w:val="16"/>
              </w:rPr>
            </w:pPr>
            <w:r>
              <w:rPr>
                <w:rFonts w:eastAsia="Times New Roman" w:cs="Arial" w:ascii="Arial" w:hAnsi="Arial"/>
                <w:sz w:val="16"/>
                <w:szCs w:val="16"/>
              </w:rPr>
              <w:t>г. Новокузнецк</w:t>
            </w:r>
          </w:p>
        </w:tc>
        <w:tc>
          <w:tcPr>
            <w:tcW w:w="6518" w:type="dxa"/>
            <w:tcBorders/>
            <w:vAlign w:val="center"/>
          </w:tcPr>
          <w:p>
            <w:pPr>
              <w:pStyle w:val="Normal"/>
              <w:jc w:val="end"/>
              <w:rPr>
                <w:sz w:val="16"/>
                <w:szCs w:val="16"/>
              </w:rPr>
            </w:pPr>
            <w:r>
              <w:rPr>
                <w:rFonts w:eastAsia="Times New Roman" w:cs="Arial" w:ascii="Arial" w:hAnsi="Arial"/>
                <w:sz w:val="16"/>
                <w:szCs w:val="16"/>
              </w:rPr>
              <w:t>«___» _______  202__ г.</w:t>
            </w:r>
          </w:p>
        </w:tc>
      </w:tr>
    </w:tbl>
    <w:p>
      <w:pPr>
        <w:pStyle w:val="Normal"/>
        <w:jc w:val="both"/>
        <w:rPr>
          <w:rFonts w:ascii="Arial" w:hAnsi="Arial" w:eastAsia="Times New Roman" w:cs="Arial"/>
          <w:b/>
          <w:sz w:val="16"/>
          <w:szCs w:val="16"/>
        </w:rPr>
      </w:pPr>
      <w:r>
        <w:rPr>
          <w:rFonts w:eastAsia="Times New Roman" w:cs="Arial" w:ascii="Arial" w:hAnsi="Arial"/>
          <w:b/>
          <w:sz w:val="16"/>
          <w:szCs w:val="16"/>
        </w:rPr>
      </w:r>
    </w:p>
    <w:p>
      <w:pPr>
        <w:pStyle w:val="Normal"/>
        <w:jc w:val="both"/>
        <w:rPr/>
      </w:pPr>
      <w:r>
        <w:rPr>
          <w:rFonts w:eastAsia="Times New Roman" w:cs="Arial" w:ascii="Arial" w:hAnsi="Arial"/>
          <w:b/>
          <w:sz w:val="16"/>
          <w:szCs w:val="16"/>
        </w:rPr>
        <w:t>Государственное бюджетное учреждение здравоохранения «Новокузнецкий наркологический диспансер»</w:t>
      </w:r>
      <w:r>
        <w:rPr>
          <w:rFonts w:eastAsia="Times New Roman" w:cs="Arial" w:ascii="Arial" w:hAnsi="Arial"/>
          <w:sz w:val="16"/>
          <w:szCs w:val="16"/>
        </w:rPr>
        <w:t xml:space="preserve"> (ГБУЗ ННД), именуемое в дальнейшем «Исполнитель», в лице и.о. </w:t>
      </w:r>
      <w:r>
        <w:rPr>
          <w:rStyle w:val="admin"/>
          <w:rFonts w:eastAsia="Times New Roman" w:cs="Arial" w:ascii="Arial" w:hAnsi="Arial"/>
          <w:sz w:val="16"/>
          <w:szCs w:val="16"/>
        </w:rPr>
        <w:t xml:space="preserve">главного врача Георгиевской О.В., действующей на основании Приказа Минздрава Кузбасса от 16.10.2025 г. № 802-л, </w:t>
      </w:r>
      <w:r>
        <w:rPr>
          <w:rFonts w:eastAsia="Times New Roman" w:cs="Arial" w:ascii="Arial" w:hAnsi="Arial"/>
          <w:sz w:val="16"/>
          <w:szCs w:val="16"/>
        </w:rPr>
        <w:t xml:space="preserve">с одной стороны, и </w:t>
      </w:r>
    </w:p>
    <w:p>
      <w:pPr>
        <w:pStyle w:val="Normal"/>
        <w:jc w:val="both"/>
        <w:rPr>
          <w:sz w:val="16"/>
          <w:szCs w:val="16"/>
        </w:rPr>
      </w:pPr>
      <w:r>
        <w:rPr>
          <w:rFonts w:eastAsia="Times New Roman" w:cs="Arial" w:ascii="Arial" w:hAnsi="Arial"/>
          <w:sz w:val="16"/>
          <w:szCs w:val="16"/>
        </w:rPr>
        <w:t xml:space="preserve">_____________________________________________________________________________________________________________________, </w:t>
      </w:r>
    </w:p>
    <w:p>
      <w:pPr>
        <w:pStyle w:val="Normal"/>
        <w:jc w:val="center"/>
        <w:rPr>
          <w:sz w:val="14"/>
          <w:szCs w:val="14"/>
        </w:rPr>
      </w:pPr>
      <w:r>
        <w:rPr>
          <w:rFonts w:eastAsia="Times New Roman" w:cs="Arial" w:ascii="Arial" w:hAnsi="Arial"/>
          <w:b/>
          <w:i/>
          <w:sz w:val="14"/>
          <w:szCs w:val="14"/>
        </w:rPr>
        <w:t>(фамилия, имя, отчество (при наличии) гражданина или наименование юридического лица)</w:t>
      </w:r>
    </w:p>
    <w:p>
      <w:pPr>
        <w:pStyle w:val="Normal"/>
        <w:jc w:val="both"/>
        <w:rPr>
          <w:sz w:val="16"/>
          <w:szCs w:val="16"/>
        </w:rPr>
      </w:pPr>
      <w:r>
        <w:rPr>
          <w:rFonts w:eastAsia="Times New Roman" w:cs="Arial" w:ascii="Arial" w:hAnsi="Arial"/>
          <w:sz w:val="16"/>
          <w:szCs w:val="16"/>
        </w:rPr>
        <w:t>именуемый (ая) в дальнейшем «Заказчик», с другой стороны, и</w:t>
      </w:r>
    </w:p>
    <w:p>
      <w:pPr>
        <w:pStyle w:val="Normal"/>
        <w:jc w:val="both"/>
        <w:rPr>
          <w:sz w:val="16"/>
          <w:szCs w:val="16"/>
        </w:rPr>
      </w:pPr>
      <w:r>
        <w:rPr>
          <w:rFonts w:eastAsia="Times New Roman" w:cs="Arial" w:ascii="Arial" w:hAnsi="Arial"/>
          <w:sz w:val="16"/>
          <w:szCs w:val="16"/>
        </w:rPr>
        <w:t xml:space="preserve"> </w:t>
      </w:r>
      <w:r>
        <w:rPr>
          <w:rFonts w:eastAsia="Times New Roman" w:cs="Arial" w:ascii="Arial" w:hAnsi="Arial"/>
          <w:sz w:val="16"/>
          <w:szCs w:val="16"/>
        </w:rPr>
        <w:t xml:space="preserve">____________________________________________________________________________________________________________________, </w:t>
      </w:r>
    </w:p>
    <w:p>
      <w:pPr>
        <w:pStyle w:val="Normal"/>
        <w:jc w:val="center"/>
        <w:rPr>
          <w:sz w:val="14"/>
          <w:szCs w:val="14"/>
        </w:rPr>
      </w:pPr>
      <w:r>
        <w:rPr>
          <w:rFonts w:eastAsia="Times New Roman" w:cs="Arial" w:ascii="Arial" w:hAnsi="Arial"/>
          <w:b/>
          <w:i/>
          <w:sz w:val="14"/>
          <w:szCs w:val="14"/>
        </w:rPr>
        <w:t>(фамилия, имя, отчество (при наличии) гражданина либо законного представителя)</w:t>
      </w:r>
    </w:p>
    <w:p>
      <w:pPr>
        <w:pStyle w:val="Normal"/>
        <w:jc w:val="both"/>
        <w:rPr>
          <w:sz w:val="16"/>
          <w:szCs w:val="16"/>
        </w:rPr>
      </w:pPr>
      <w:r>
        <w:rPr>
          <w:rFonts w:eastAsia="Times New Roman" w:cs="Arial" w:ascii="Arial" w:hAnsi="Arial"/>
          <w:sz w:val="16"/>
          <w:szCs w:val="16"/>
        </w:rPr>
        <w:t xml:space="preserve">именуемый (ая) в дальнейшем «Потребитель», действующий (ая) в своих интересах или в интересах </w:t>
      </w:r>
      <w:r>
        <w:rPr>
          <w:rFonts w:eastAsia="Times New Roman" w:cs="Arial" w:ascii="Arial" w:hAnsi="Arial"/>
          <w:color w:val="000000"/>
          <w:sz w:val="16"/>
          <w:szCs w:val="16"/>
        </w:rPr>
        <w:t>лица, не достигшего 15 лет, или недееспособного гражданина</w:t>
      </w:r>
      <w:r>
        <w:rPr>
          <w:rFonts w:eastAsia="Times New Roman" w:cs="Arial" w:ascii="Arial" w:hAnsi="Arial"/>
          <w:sz w:val="16"/>
          <w:szCs w:val="16"/>
        </w:rPr>
        <w:t xml:space="preserve"> (данные о нем указываются в п. 1.3. Договора), с третьей стороны, вместе именуемые «Стороны», заключили настоящий Договор (далее – Договор) о нижеследующем:</w:t>
      </w:r>
      <w:r>
        <w:rPr>
          <w:rFonts w:eastAsia="Times New Roman" w:cs="Arial" w:ascii="Arial" w:hAnsi="Arial"/>
          <w:b/>
          <w:bCs/>
          <w:color w:val="000000"/>
          <w:sz w:val="16"/>
          <w:szCs w:val="16"/>
        </w:rPr>
        <w:t xml:space="preserve"> </w:t>
      </w:r>
    </w:p>
    <w:p>
      <w:pPr>
        <w:pStyle w:val="NormalWeb"/>
        <w:spacing w:beforeAutospacing="0" w:before="0" w:afterAutospacing="0" w:after="0"/>
        <w:jc w:val="center"/>
        <w:rPr/>
      </w:pPr>
      <w:r>
        <w:rPr>
          <w:rStyle w:val="Strong"/>
          <w:rFonts w:cs="Arial" w:ascii="Arial" w:hAnsi="Arial"/>
          <w:sz w:val="16"/>
          <w:szCs w:val="16"/>
        </w:rPr>
        <w:t xml:space="preserve">1. </w:t>
      </w:r>
      <w:r>
        <w:rPr>
          <w:rFonts w:eastAsia="Times New Roman" w:cs="Arial" w:ascii="Arial" w:hAnsi="Arial"/>
          <w:b/>
          <w:bCs/>
          <w:color w:val="000000"/>
          <w:sz w:val="16"/>
          <w:szCs w:val="16"/>
        </w:rPr>
        <w:t>Предмет Договора</w:t>
      </w:r>
    </w:p>
    <w:p>
      <w:pPr>
        <w:pStyle w:val="Normal"/>
        <w:jc w:val="both"/>
        <w:rPr>
          <w:sz w:val="16"/>
          <w:szCs w:val="16"/>
        </w:rPr>
      </w:pPr>
      <w:r>
        <w:rPr>
          <w:rFonts w:eastAsia="Times New Roman" w:cs="Arial" w:ascii="Arial" w:hAnsi="Arial"/>
          <w:color w:val="000000"/>
          <w:sz w:val="16"/>
          <w:szCs w:val="16"/>
        </w:rPr>
        <w:t>1.1. Исполнитель обязуется оказать Потребителю медицинские услуги по своему профилю деятельности, а Потребитель (Заказчик) обязуется оплатить оказанные услуги.</w:t>
      </w:r>
    </w:p>
    <w:p>
      <w:pPr>
        <w:pStyle w:val="Normal"/>
        <w:jc w:val="both"/>
        <w:rPr>
          <w:sz w:val="16"/>
          <w:szCs w:val="16"/>
        </w:rPr>
      </w:pPr>
      <w:r>
        <w:rPr>
          <w:rFonts w:eastAsia="Times New Roman" w:cs="Arial" w:ascii="Arial" w:hAnsi="Arial"/>
          <w:color w:val="000000"/>
          <w:sz w:val="16"/>
          <w:szCs w:val="16"/>
        </w:rPr>
        <w:t>1.2. Исполнитель действует на основании Лицензии на осуществление медицинской деятельности № Л041-01161-42/00323208, выданной Министерством здравоохранения Кузбасса, срок действия лицензии: с 27 августа 2013 года бессрочно; перечень предоставляемых работ (услуг), составляющих медицинскую деятельность, в рамках настоящего договора: психиатрия-наркология, клиническая лабораторная диагностика. С полным перечнем работ (услуг), указанным в едином реестре лицензий, можно ознакомиться на информационных стендах (стойках) Исполнителя, а также на сайте Исполнителя https://nardis.su/about/license/ в сети «Интернет».</w:t>
      </w:r>
    </w:p>
    <w:p>
      <w:pPr>
        <w:pStyle w:val="Normal"/>
        <w:jc w:val="both"/>
        <w:rPr>
          <w:sz w:val="16"/>
          <w:szCs w:val="16"/>
        </w:rPr>
      </w:pPr>
      <w:r>
        <w:rPr>
          <w:rFonts w:eastAsia="Times New Roman" w:cs="Arial" w:ascii="Arial" w:hAnsi="Arial"/>
          <w:color w:val="000000"/>
          <w:sz w:val="16"/>
          <w:szCs w:val="16"/>
        </w:rPr>
        <w:t>1.3. Данные о несовершеннолетнем или недееспособном потребителе:</w:t>
      </w:r>
    </w:p>
    <w:p>
      <w:pPr>
        <w:pStyle w:val="Normal"/>
        <w:jc w:val="both"/>
        <w:rPr>
          <w:sz w:val="16"/>
          <w:szCs w:val="16"/>
        </w:rPr>
      </w:pPr>
      <w:r>
        <w:rPr>
          <w:rFonts w:eastAsia="Times New Roman" w:cs="Arial" w:ascii="Arial" w:hAnsi="Arial"/>
          <w:color w:val="000000"/>
          <w:sz w:val="16"/>
          <w:szCs w:val="16"/>
        </w:rPr>
        <w:t>Ф.И.О. _________________________________________________________________ Дата рождения:__________________________</w:t>
      </w:r>
    </w:p>
    <w:p>
      <w:pPr>
        <w:pStyle w:val="Normal"/>
        <w:jc w:val="both"/>
        <w:rPr>
          <w:sz w:val="16"/>
          <w:szCs w:val="16"/>
        </w:rPr>
      </w:pPr>
      <w:r>
        <w:rPr>
          <w:rFonts w:eastAsia="Times New Roman" w:cs="Arial" w:ascii="Arial" w:hAnsi="Arial"/>
          <w:color w:val="000000"/>
          <w:sz w:val="16"/>
          <w:szCs w:val="16"/>
        </w:rPr>
        <w:t>Данные паспорта/свидетельства о рождении:________________________________________________________________________</w:t>
      </w:r>
    </w:p>
    <w:p>
      <w:pPr>
        <w:pStyle w:val="Normal"/>
        <w:jc w:val="both"/>
        <w:rPr>
          <w:sz w:val="16"/>
          <w:szCs w:val="16"/>
        </w:rPr>
      </w:pPr>
      <w:r>
        <w:rPr>
          <w:rFonts w:eastAsia="Times New Roman" w:cs="Arial" w:ascii="Arial" w:hAnsi="Arial"/>
          <w:color w:val="000000"/>
          <w:sz w:val="16"/>
          <w:szCs w:val="16"/>
        </w:rPr>
        <w:t>Адрес места жительства: _________________________________________________________________________________________</w:t>
      </w:r>
    </w:p>
    <w:p>
      <w:pPr>
        <w:pStyle w:val="Normal"/>
        <w:jc w:val="both"/>
        <w:rPr>
          <w:sz w:val="16"/>
          <w:szCs w:val="16"/>
        </w:rPr>
      </w:pPr>
      <w:r>
        <w:rPr>
          <w:rFonts w:eastAsia="Times New Roman" w:cs="Arial" w:ascii="Arial" w:hAnsi="Arial"/>
          <w:color w:val="000000"/>
          <w:sz w:val="16"/>
          <w:szCs w:val="16"/>
        </w:rPr>
        <w:t>Иные адреса (при наличии): ______________________________________________________ Телефон: _______________________</w:t>
      </w:r>
    </w:p>
    <w:p>
      <w:pPr>
        <w:pStyle w:val="Normal"/>
        <w:jc w:val="center"/>
        <w:rPr>
          <w:sz w:val="16"/>
          <w:szCs w:val="16"/>
        </w:rPr>
      </w:pPr>
      <w:r>
        <w:rPr>
          <w:rFonts w:eastAsia="Times New Roman" w:cs="Arial" w:ascii="Arial" w:hAnsi="Arial"/>
          <w:b/>
          <w:color w:val="000000"/>
          <w:sz w:val="16"/>
          <w:szCs w:val="16"/>
        </w:rPr>
        <w:t>2. Условия предоставления медицинских услуг</w:t>
      </w:r>
    </w:p>
    <w:p>
      <w:pPr>
        <w:pStyle w:val="Normal"/>
        <w:jc w:val="both"/>
        <w:rPr>
          <w:rFonts w:ascii="Arial" w:hAnsi="Arial" w:eastAsia="Times New Roman" w:cs="Arial"/>
          <w:color w:val="000000"/>
          <w:sz w:val="16"/>
          <w:szCs w:val="16"/>
        </w:rPr>
      </w:pPr>
      <w:r>
        <w:rPr>
          <w:rFonts w:eastAsia="Times New Roman" w:cs="Arial" w:ascii="Arial" w:hAnsi="Arial"/>
          <w:color w:val="000000"/>
          <w:sz w:val="16"/>
          <w:szCs w:val="16"/>
        </w:rPr>
        <w:t>2.1. Перечень платных медицинских услуг, предоставляемых в соответствии с договором, указан в Приложении № 1 к договору.</w:t>
      </w:r>
    </w:p>
    <w:p>
      <w:pPr>
        <w:pStyle w:val="Normal"/>
        <w:jc w:val="both"/>
        <w:rPr>
          <w:sz w:val="16"/>
          <w:szCs w:val="16"/>
        </w:rPr>
      </w:pPr>
      <w:r>
        <w:rPr>
          <w:rFonts w:eastAsia="Times New Roman" w:cs="Arial" w:ascii="Arial" w:hAnsi="Arial"/>
          <w:color w:val="000000"/>
          <w:sz w:val="16"/>
          <w:szCs w:val="16"/>
        </w:rPr>
        <w:t xml:space="preserve">2.2. Медицинские  услуги предоставляются  амбулаторно по адресам: г. Новокузнецк, пр. Строителей, 52 или  г. Новокузнецк, пр. Советской Армии, 53 </w:t>
      </w:r>
      <w:r>
        <w:rPr>
          <w:rFonts w:eastAsia="Times New Roman" w:cs="Arial" w:ascii="Arial" w:hAnsi="Arial"/>
          <w:b/>
          <w:i/>
          <w:color w:val="000000"/>
          <w:sz w:val="16"/>
          <w:szCs w:val="16"/>
        </w:rPr>
        <w:t>(нужное подчеркнуть)</w:t>
      </w:r>
      <w:r>
        <w:rPr>
          <w:rFonts w:eastAsia="Times New Roman" w:cs="Arial" w:ascii="Arial" w:hAnsi="Arial"/>
          <w:color w:val="000000"/>
          <w:sz w:val="16"/>
          <w:szCs w:val="16"/>
        </w:rPr>
        <w:t xml:space="preserve">. </w:t>
      </w:r>
    </w:p>
    <w:p>
      <w:pPr>
        <w:pStyle w:val="Normal"/>
        <w:jc w:val="both"/>
        <w:rPr>
          <w:sz w:val="16"/>
          <w:szCs w:val="16"/>
        </w:rPr>
      </w:pPr>
      <w:r>
        <w:rPr>
          <w:rFonts w:eastAsia="Times New Roman" w:cs="Arial" w:ascii="Arial" w:hAnsi="Arial"/>
          <w:color w:val="000000"/>
          <w:sz w:val="16"/>
          <w:szCs w:val="16"/>
        </w:rPr>
        <w:t>2.3. Сроки предоставления медицинских услуг: Приём (осмотр) врачом-психиатром-наркологом проводится в день обращения при условии оплаты. Медицинское заключение выдаётся после получения результатов всех лабораторных исследований, предельный срок выдачи — 10 (Десять) рабочих дней с даты сдачи биоматериалов. При направлении на дополнительное обследование срок выдачи заключения продлевается на период такого обследования.</w:t>
      </w:r>
    </w:p>
    <w:p>
      <w:pPr>
        <w:pStyle w:val="Normal"/>
        <w:jc w:val="both"/>
        <w:rPr>
          <w:sz w:val="16"/>
          <w:szCs w:val="16"/>
        </w:rPr>
      </w:pPr>
      <w:r>
        <w:rPr>
          <w:rFonts w:eastAsia="Times New Roman" w:cs="Arial" w:ascii="Arial" w:hAnsi="Arial"/>
          <w:color w:val="000000"/>
          <w:sz w:val="16"/>
          <w:szCs w:val="16"/>
        </w:rPr>
        <w:t>2.4. При оказании медицинских услуг Исполнитель применяет порядки оказания медицинской помощи, клинические рекомендации и стандарты медицинской помощи, информация о которых предоставляется Потребителю (Заказчику) в доступной форме.</w:t>
      </w:r>
    </w:p>
    <w:p>
      <w:pPr>
        <w:pStyle w:val="Normal"/>
        <w:jc w:val="both"/>
        <w:rPr>
          <w:sz w:val="16"/>
          <w:szCs w:val="16"/>
        </w:rPr>
      </w:pPr>
      <w:r>
        <w:rPr>
          <w:rFonts w:eastAsia="Times New Roman" w:cs="Arial" w:ascii="Arial" w:hAnsi="Arial"/>
          <w:color w:val="000000"/>
          <w:sz w:val="16"/>
          <w:szCs w:val="16"/>
        </w:rPr>
        <w:t>2.5. Медицинские услуги могут оказываться в полном объёме стандарта медицинской помощи либо по просьбе Потребителя (Заказчика) в виде осуществления отдельных консультаций или медицинских вмешательств, а также в объёме, превышающем объём выполняемого стандарта медицинской помощи. Такая просьба оформляется в виде письменного согласия Заказчика (если Заказчик является Потребителем) или письменного согласия Потребителя и Заказчика.</w:t>
      </w:r>
    </w:p>
    <w:p>
      <w:pPr>
        <w:pStyle w:val="Normal"/>
        <w:jc w:val="center"/>
        <w:rPr>
          <w:sz w:val="16"/>
          <w:szCs w:val="16"/>
        </w:rPr>
      </w:pPr>
      <w:r>
        <w:rPr>
          <w:rFonts w:eastAsia="Times New Roman" w:cs="Arial" w:ascii="Arial" w:hAnsi="Arial"/>
          <w:b/>
          <w:bCs/>
          <w:color w:val="000000"/>
          <w:sz w:val="16"/>
          <w:szCs w:val="16"/>
        </w:rPr>
        <w:t>3. Права и обязанности Сторон</w:t>
      </w:r>
      <w:bookmarkStart w:id="0" w:name="_GoBack"/>
      <w:bookmarkEnd w:id="0"/>
    </w:p>
    <w:p>
      <w:pPr>
        <w:pStyle w:val="Normal"/>
        <w:jc w:val="both"/>
        <w:rPr>
          <w:sz w:val="16"/>
          <w:szCs w:val="16"/>
        </w:rPr>
      </w:pPr>
      <w:r>
        <w:rPr>
          <w:rFonts w:eastAsia="Times New Roman" w:cs="Arial" w:ascii="Arial" w:hAnsi="Arial"/>
          <w:bCs/>
          <w:color w:val="000000"/>
          <w:sz w:val="16"/>
          <w:szCs w:val="16"/>
        </w:rPr>
        <w:t xml:space="preserve">3.1. </w:t>
      </w:r>
      <w:r>
        <w:rPr>
          <w:rFonts w:eastAsia="Times New Roman" w:cs="Arial" w:ascii="Arial" w:hAnsi="Arial"/>
          <w:b/>
          <w:bCs/>
          <w:color w:val="000000"/>
          <w:sz w:val="16"/>
          <w:szCs w:val="16"/>
        </w:rPr>
        <w:t>Исполнитель обязан:</w:t>
      </w:r>
    </w:p>
    <w:p>
      <w:pPr>
        <w:pStyle w:val="Normal"/>
        <w:jc w:val="both"/>
        <w:rPr>
          <w:sz w:val="16"/>
          <w:szCs w:val="16"/>
        </w:rPr>
      </w:pPr>
      <w:r>
        <w:rPr>
          <w:rFonts w:eastAsia="Times New Roman" w:cs="Arial" w:ascii="Arial" w:hAnsi="Arial"/>
          <w:bCs/>
          <w:color w:val="000000"/>
          <w:sz w:val="16"/>
          <w:szCs w:val="16"/>
        </w:rPr>
        <w:t>- обеспечить соблюдение Порядка проведения медицинского осмотра</w:t>
      </w:r>
      <w:r>
        <w:rPr>
          <w:rFonts w:eastAsia="Times New Roman" w:cs="Arial" w:ascii="Arial" w:hAnsi="Arial"/>
          <w:bCs/>
          <w:color w:val="C00000"/>
          <w:sz w:val="16"/>
          <w:szCs w:val="16"/>
        </w:rPr>
        <w:t xml:space="preserve"> </w:t>
      </w:r>
      <w:r>
        <w:rPr>
          <w:rFonts w:eastAsia="Times New Roman" w:cs="Arial" w:ascii="Arial" w:hAnsi="Arial"/>
          <w:bCs/>
          <w:color w:val="000000"/>
          <w:sz w:val="16"/>
          <w:szCs w:val="16"/>
        </w:rPr>
        <w:t>( освидетельствования) на наличие медицинских противопоказаний, утвержденного уполномоченным федеральным органом исполнительной власти, органом исполнительной власти субъекта РФ, клинических рекомендаций, а также стандартов медицинской помощи, в случае если медицинская помощь предоставлялась в объёме стандартов;</w:t>
      </w:r>
    </w:p>
    <w:p>
      <w:pPr>
        <w:pStyle w:val="Normal"/>
        <w:jc w:val="both"/>
        <w:rPr>
          <w:sz w:val="16"/>
          <w:szCs w:val="16"/>
        </w:rPr>
      </w:pPr>
      <w:r>
        <w:rPr>
          <w:rFonts w:eastAsia="Times New Roman" w:cs="Arial" w:ascii="Arial" w:hAnsi="Arial"/>
          <w:color w:val="000000"/>
          <w:sz w:val="16"/>
          <w:szCs w:val="16"/>
        </w:rPr>
        <w:t xml:space="preserve">- выдать Потребителю (законному представителю Потребителя) после исполнения договора медицинские документы (копии медицинских документов, выписки из медицинских документов), отражающие состояние его здоровья после получения платных медицинских услуг, включая сведения о результатах обследования, диагнозе, методах лечения, об используемых при предоставлении платных медицинских услуг лекарственных препаратах и медицинских изделиях, в соответствии с нормативно-правовыми актами, </w:t>
      </w:r>
      <w:r>
        <w:rPr>
          <w:rFonts w:eastAsia="Times New Roman" w:cs="Arial" w:ascii="Arial" w:hAnsi="Arial"/>
          <w:bCs/>
          <w:color w:val="000000"/>
          <w:sz w:val="16"/>
          <w:szCs w:val="16"/>
        </w:rPr>
        <w:t>утвержденным уполномоченным федеральным органом исполнительной власти,</w:t>
      </w:r>
      <w:r>
        <w:rPr>
          <w:rFonts w:eastAsia="Times New Roman" w:cs="Arial" w:ascii="Arial" w:hAnsi="Arial"/>
          <w:color w:val="000000"/>
          <w:sz w:val="16"/>
          <w:szCs w:val="16"/>
        </w:rPr>
        <w:t xml:space="preserve"> без взимания дополнительной платы;</w:t>
      </w:r>
    </w:p>
    <w:p>
      <w:pPr>
        <w:pStyle w:val="Normal"/>
        <w:jc w:val="both"/>
        <w:rPr>
          <w:rFonts w:ascii="Arial" w:hAnsi="Arial" w:eastAsia="Times New Roman" w:cs="Arial"/>
          <w:color w:val="000000"/>
          <w:sz w:val="16"/>
          <w:szCs w:val="16"/>
        </w:rPr>
      </w:pPr>
      <w:r>
        <w:rPr>
          <w:rFonts w:eastAsia="Times New Roman" w:cs="Arial" w:ascii="Arial" w:hAnsi="Arial"/>
          <w:color w:val="000000"/>
          <w:sz w:val="16"/>
          <w:szCs w:val="16"/>
        </w:rPr>
        <w:t>- по заявлению Заказчика и (или) Потребителя (при наличии согласия Потребителя или его законного представителя) выдать документы, подтверждающие фактические расходы на оказанные медицинские услуги, для целей предоставления социального налогового вычета: копию договора, справку об оплате медицинских услуг по форме, утверждённой уполномоченным органом, а также рецептурный бланк или выписку из медицинской документации (при назначении лекарственных препаратов).</w:t>
      </w:r>
    </w:p>
    <w:p>
      <w:pPr>
        <w:pStyle w:val="Normal"/>
        <w:jc w:val="both"/>
        <w:rPr>
          <w:sz w:val="16"/>
          <w:szCs w:val="16"/>
        </w:rPr>
      </w:pPr>
      <w:r>
        <w:rPr>
          <w:rFonts w:eastAsia="Times New Roman" w:cs="Arial" w:ascii="Arial" w:hAnsi="Arial"/>
          <w:bCs/>
          <w:color w:val="000000"/>
          <w:sz w:val="16"/>
          <w:szCs w:val="16"/>
        </w:rPr>
        <w:t xml:space="preserve">3.2. </w:t>
      </w:r>
      <w:r>
        <w:rPr>
          <w:rFonts w:eastAsia="Times New Roman" w:cs="Arial" w:ascii="Arial" w:hAnsi="Arial"/>
          <w:b/>
          <w:bCs/>
          <w:color w:val="000000"/>
          <w:sz w:val="16"/>
          <w:szCs w:val="16"/>
        </w:rPr>
        <w:t>Исполнитель имеет право:</w:t>
      </w:r>
    </w:p>
    <w:p>
      <w:pPr>
        <w:pStyle w:val="Normal"/>
        <w:jc w:val="both"/>
        <w:rPr>
          <w:sz w:val="16"/>
          <w:szCs w:val="16"/>
        </w:rPr>
      </w:pPr>
      <w:r>
        <w:rPr>
          <w:rFonts w:eastAsia="Times New Roman" w:cs="Arial" w:ascii="Arial" w:hAnsi="Arial"/>
          <w:bCs/>
          <w:color w:val="000000"/>
          <w:sz w:val="16"/>
          <w:szCs w:val="16"/>
        </w:rPr>
        <w:t>- определять объем обследований и исследований, необходимых для оказания медицинских услуг, в рамках законодательства РФ в области оказания наркологической помощи;</w:t>
      </w:r>
    </w:p>
    <w:p>
      <w:pPr>
        <w:pStyle w:val="Normal"/>
        <w:jc w:val="both"/>
        <w:rPr>
          <w:sz w:val="16"/>
          <w:szCs w:val="16"/>
        </w:rPr>
      </w:pPr>
      <w:r>
        <w:rPr>
          <w:rFonts w:eastAsia="Times New Roman" w:cs="Arial" w:ascii="Arial" w:hAnsi="Arial"/>
          <w:bCs/>
          <w:color w:val="000000"/>
          <w:sz w:val="16"/>
          <w:szCs w:val="16"/>
        </w:rPr>
        <w:t>- проводить заседание врачебной комиссии для вынесения заключения о состоянии здоровья Потребителя.</w:t>
      </w:r>
    </w:p>
    <w:p>
      <w:pPr>
        <w:pStyle w:val="Normal"/>
        <w:jc w:val="both"/>
        <w:rPr>
          <w:sz w:val="16"/>
          <w:szCs w:val="16"/>
        </w:rPr>
      </w:pPr>
      <w:r>
        <w:rPr>
          <w:rFonts w:eastAsia="Times New Roman" w:cs="Arial" w:ascii="Arial" w:hAnsi="Arial"/>
          <w:bCs/>
          <w:color w:val="000000"/>
          <w:sz w:val="16"/>
          <w:szCs w:val="16"/>
        </w:rPr>
        <w:t xml:space="preserve">3.3. </w:t>
      </w:r>
      <w:r>
        <w:rPr>
          <w:rFonts w:eastAsia="Times New Roman" w:cs="Arial" w:ascii="Arial" w:hAnsi="Arial"/>
          <w:b/>
          <w:bCs/>
          <w:color w:val="000000"/>
          <w:sz w:val="16"/>
          <w:szCs w:val="16"/>
        </w:rPr>
        <w:t>Потребитель (Заказчик) обязан:</w:t>
      </w:r>
    </w:p>
    <w:p>
      <w:pPr>
        <w:pStyle w:val="Normal"/>
        <w:jc w:val="both"/>
        <w:rPr>
          <w:sz w:val="16"/>
          <w:szCs w:val="16"/>
        </w:rPr>
      </w:pPr>
      <w:r>
        <w:rPr>
          <w:rFonts w:eastAsia="Times New Roman" w:cs="Arial" w:ascii="Arial" w:hAnsi="Arial"/>
          <w:bCs/>
          <w:color w:val="000000"/>
          <w:sz w:val="16"/>
          <w:szCs w:val="16"/>
        </w:rPr>
        <w:t>- оплатить медицинские услуги;</w:t>
      </w:r>
    </w:p>
    <w:p>
      <w:pPr>
        <w:pStyle w:val="Normal"/>
        <w:jc w:val="both"/>
        <w:rPr>
          <w:sz w:val="16"/>
          <w:szCs w:val="16"/>
        </w:rPr>
      </w:pPr>
      <w:r>
        <w:rPr>
          <w:rFonts w:eastAsia="Times New Roman" w:cs="Arial" w:ascii="Arial" w:hAnsi="Arial"/>
          <w:bCs/>
          <w:color w:val="000000"/>
          <w:sz w:val="16"/>
          <w:szCs w:val="16"/>
        </w:rPr>
        <w:t xml:space="preserve">- сохранять документ, подтверждающий факт оплаты услуг, до окончания срока оказания услуг. </w:t>
      </w:r>
    </w:p>
    <w:p>
      <w:pPr>
        <w:pStyle w:val="Normal"/>
        <w:jc w:val="both"/>
        <w:rPr>
          <w:sz w:val="16"/>
          <w:szCs w:val="16"/>
        </w:rPr>
      </w:pPr>
      <w:r>
        <w:rPr>
          <w:rFonts w:eastAsia="Times New Roman" w:cs="Arial" w:ascii="Arial" w:hAnsi="Arial"/>
          <w:bCs/>
          <w:color w:val="000000"/>
          <w:sz w:val="16"/>
          <w:szCs w:val="16"/>
        </w:rPr>
        <w:t xml:space="preserve">3.4. </w:t>
      </w:r>
      <w:r>
        <w:rPr>
          <w:rFonts w:eastAsia="Times New Roman" w:cs="Arial" w:ascii="Arial" w:hAnsi="Arial"/>
          <w:b/>
          <w:bCs/>
          <w:color w:val="000000"/>
          <w:sz w:val="16"/>
          <w:szCs w:val="16"/>
        </w:rPr>
        <w:t>Потребитель (Заказчик) имеет право:</w:t>
      </w:r>
    </w:p>
    <w:p>
      <w:pPr>
        <w:pStyle w:val="Normal"/>
        <w:jc w:val="both"/>
        <w:rPr>
          <w:sz w:val="16"/>
          <w:szCs w:val="16"/>
        </w:rPr>
      </w:pPr>
      <w:r>
        <w:rPr>
          <w:rFonts w:eastAsia="Times New Roman" w:cs="Arial" w:ascii="Arial" w:hAnsi="Arial"/>
          <w:bCs/>
          <w:color w:val="000000"/>
          <w:sz w:val="16"/>
          <w:szCs w:val="16"/>
        </w:rPr>
        <w:t xml:space="preserve">-  получать по требованию Потребителя информацию о состоянии здоровья Потребителя, об используемых при предоставлении услуг лекарственных препаратах и медицинских изделиях. </w:t>
      </w:r>
    </w:p>
    <w:p>
      <w:pPr>
        <w:pStyle w:val="Normal"/>
        <w:jc w:val="center"/>
        <w:rPr/>
      </w:pPr>
      <w:r>
        <w:rPr>
          <w:rStyle w:val="Strong"/>
          <w:rFonts w:eastAsia="Times New Roman" w:cs="Arial" w:ascii="Arial" w:hAnsi="Arial"/>
          <w:color w:val="000000"/>
          <w:sz w:val="16"/>
          <w:szCs w:val="16"/>
        </w:rPr>
        <w:t>4. Стоимость и порядок оплаты услуг</w:t>
      </w:r>
    </w:p>
    <w:p>
      <w:pPr>
        <w:pStyle w:val="Normal"/>
        <w:jc w:val="both"/>
        <w:rPr>
          <w:sz w:val="16"/>
          <w:szCs w:val="16"/>
        </w:rPr>
      </w:pPr>
      <w:r>
        <w:rPr>
          <w:rFonts w:eastAsia="Times New Roman" w:cs="Arial" w:ascii="Arial" w:hAnsi="Arial"/>
          <w:color w:val="000000"/>
          <w:sz w:val="16"/>
          <w:szCs w:val="16"/>
        </w:rPr>
        <w:t>4.1. Стоимость медицинских услуг определяется согласно Прейскуранту цен платных медицинских услуг (далее – Прейскурант) Исполнителя, действующему на момент оказания медицинских услуг, и количеству необходимых услуг на основании Приложения № 1 к договору.</w:t>
      </w:r>
    </w:p>
    <w:p>
      <w:pPr>
        <w:pStyle w:val="Normal"/>
        <w:jc w:val="both"/>
        <w:rPr>
          <w:sz w:val="16"/>
          <w:szCs w:val="16"/>
        </w:rPr>
      </w:pPr>
      <w:r>
        <w:rPr>
          <w:rFonts w:eastAsia="Times New Roman" w:cs="Arial" w:ascii="Arial" w:hAnsi="Arial"/>
          <w:color w:val="000000"/>
          <w:sz w:val="16"/>
          <w:szCs w:val="16"/>
        </w:rPr>
        <w:t xml:space="preserve">4.2. Оплата медицинских услуг производится Потребителем (Заказчиком) в размере 100% стоимости медицинских услуг </w:t>
      </w:r>
      <w:bookmarkStart w:id="1" w:name="_Hlk144324907"/>
      <w:r>
        <w:rPr>
          <w:rFonts w:eastAsia="Times New Roman" w:cs="Arial" w:ascii="Arial" w:hAnsi="Arial"/>
          <w:color w:val="000000"/>
          <w:sz w:val="16"/>
          <w:szCs w:val="16"/>
        </w:rPr>
        <w:t>до момента оказания услуг</w:t>
      </w:r>
      <w:bookmarkEnd w:id="1"/>
      <w:r>
        <w:rPr>
          <w:rFonts w:eastAsia="Times New Roman" w:cs="Arial" w:ascii="Arial" w:hAnsi="Arial"/>
          <w:color w:val="000000"/>
          <w:sz w:val="16"/>
          <w:szCs w:val="16"/>
        </w:rPr>
        <w:t xml:space="preserve"> путем внесения наличных денежных средств в кассу Исполнителя или путем использования национальных платежных инструментов.</w:t>
      </w:r>
    </w:p>
    <w:p>
      <w:pPr>
        <w:pStyle w:val="Normal"/>
        <w:jc w:val="both"/>
        <w:rPr>
          <w:sz w:val="16"/>
          <w:szCs w:val="16"/>
        </w:rPr>
      </w:pPr>
      <w:r>
        <w:rPr>
          <w:rFonts w:eastAsia="Times New Roman" w:cs="Arial" w:ascii="Arial" w:hAnsi="Arial"/>
          <w:color w:val="000000"/>
          <w:sz w:val="16"/>
          <w:szCs w:val="16"/>
        </w:rPr>
        <w:t>4.3. Потребителю (Заказчику) после оплаты выдаётся документ, подтверждающий факт осуществления расчёта (кассовый чек или бланк строгой отчётности, а в случаях, предусмотренных законодательством, – иной подтверждающий документ).</w:t>
      </w:r>
    </w:p>
    <w:p>
      <w:pPr>
        <w:pStyle w:val="Normal"/>
        <w:jc w:val="both"/>
        <w:rPr>
          <w:sz w:val="16"/>
          <w:szCs w:val="16"/>
        </w:rPr>
      </w:pPr>
      <w:r>
        <w:rPr>
          <w:rFonts w:eastAsia="Times New Roman" w:cs="Arial" w:ascii="Arial" w:hAnsi="Arial"/>
          <w:color w:val="000000"/>
          <w:sz w:val="16"/>
          <w:szCs w:val="16"/>
        </w:rPr>
        <w:t>4.4. В случае если при предоставлении медицинских услуг выявится необходимость оказания дополнительных платных услуг, не предусмотренных Договором, Исполнитель обязан предупредить об этом Потребителя (Заказчика). Без согласия Потребителя (Заказчика) такие услуги не оказываются. При достижении согласия Стороны подписывают дополнительное соглашение.</w:t>
      </w:r>
    </w:p>
    <w:p>
      <w:pPr>
        <w:pStyle w:val="Normal"/>
        <w:jc w:val="center"/>
        <w:rPr/>
      </w:pPr>
      <w:r>
        <w:rPr>
          <w:rStyle w:val="Strong"/>
          <w:rFonts w:eastAsia="Times New Roman" w:cs="Arial" w:ascii="Arial" w:hAnsi="Arial"/>
          <w:color w:val="000000"/>
          <w:sz w:val="16"/>
          <w:szCs w:val="16"/>
        </w:rPr>
        <w:t>5. Ответственность сторон</w:t>
      </w:r>
    </w:p>
    <w:p>
      <w:pPr>
        <w:pStyle w:val="Normal"/>
        <w:jc w:val="both"/>
        <w:rPr>
          <w:sz w:val="16"/>
          <w:szCs w:val="16"/>
        </w:rPr>
      </w:pPr>
      <w:r>
        <w:rPr>
          <w:rFonts w:eastAsia="Times New Roman" w:cs="Arial" w:ascii="Arial" w:hAnsi="Arial"/>
          <w:color w:val="000000"/>
          <w:sz w:val="16"/>
          <w:szCs w:val="16"/>
        </w:rPr>
        <w:t>5.1. За неисполнение или ненадлежащее исполнение обязательств по Договору, Стороны несут ответственность в порядке, предусмотренном действующим законодательством РФ.</w:t>
      </w:r>
    </w:p>
    <w:p>
      <w:pPr>
        <w:pStyle w:val="Normal"/>
        <w:jc w:val="both"/>
        <w:rPr>
          <w:sz w:val="16"/>
          <w:szCs w:val="16"/>
        </w:rPr>
      </w:pPr>
      <w:r>
        <w:rPr>
          <w:rFonts w:eastAsia="Times New Roman" w:cs="Arial" w:ascii="Arial" w:hAnsi="Arial"/>
          <w:color w:val="000000"/>
          <w:sz w:val="16"/>
          <w:szCs w:val="16"/>
        </w:rPr>
        <w:t>5.2. Вред, причиненный жизни или здоровью Потребителя в результате оказания  медицинских услуг ненадлежащего качества, подлежит возмещению Исполнителем в соответствии с законодательством Российской Федерации.</w:t>
      </w:r>
    </w:p>
    <w:p>
      <w:pPr>
        <w:pStyle w:val="Normal"/>
        <w:jc w:val="center"/>
        <w:rPr>
          <w:sz w:val="16"/>
          <w:szCs w:val="16"/>
        </w:rPr>
      </w:pPr>
      <w:r>
        <w:rPr>
          <w:rFonts w:eastAsia="Times New Roman" w:cs="Arial" w:ascii="Arial" w:hAnsi="Arial"/>
          <w:b/>
          <w:bCs/>
          <w:color w:val="000000"/>
          <w:sz w:val="16"/>
          <w:szCs w:val="16"/>
        </w:rPr>
        <w:t>6. Порядок изменения и расторжения Договора</w:t>
      </w:r>
    </w:p>
    <w:p>
      <w:pPr>
        <w:pStyle w:val="Normal"/>
        <w:jc w:val="both"/>
        <w:rPr>
          <w:sz w:val="16"/>
          <w:szCs w:val="16"/>
        </w:rPr>
      </w:pPr>
      <w:r>
        <w:rPr>
          <w:rFonts w:eastAsia="Times New Roman" w:cs="Arial" w:ascii="Arial" w:hAnsi="Arial"/>
          <w:color w:val="000000"/>
          <w:sz w:val="16"/>
          <w:szCs w:val="16"/>
        </w:rPr>
        <w:t>6.1. Договор может быть изменен или расторгнут по взаимному согласию Сторон путем подписания письменного соглашения.</w:t>
      </w:r>
    </w:p>
    <w:p>
      <w:pPr>
        <w:pStyle w:val="Normal"/>
        <w:jc w:val="both"/>
        <w:rPr>
          <w:sz w:val="16"/>
          <w:szCs w:val="16"/>
        </w:rPr>
      </w:pPr>
      <w:r>
        <w:rPr>
          <w:rFonts w:eastAsia="Times New Roman" w:cs="Arial" w:ascii="Arial" w:hAnsi="Arial"/>
          <w:color w:val="000000"/>
          <w:sz w:val="16"/>
          <w:szCs w:val="16"/>
        </w:rPr>
        <w:t>6.2. Договор расторгается в случае отказа Потребителя после заключения договора от получения медицинских услуг, при этом Потребитель и (или) Заказчик оплачивают Исполнителю фактически понесенные Исполнителем расходы, связанные с исполнением обязательств по договору.</w:t>
      </w:r>
    </w:p>
    <w:p>
      <w:pPr>
        <w:pStyle w:val="Normal"/>
        <w:jc w:val="both"/>
        <w:rPr>
          <w:sz w:val="16"/>
          <w:szCs w:val="16"/>
        </w:rPr>
      </w:pPr>
      <w:r>
        <w:rPr>
          <w:rFonts w:eastAsia="Times New Roman" w:cs="Arial" w:ascii="Arial" w:hAnsi="Arial"/>
          <w:color w:val="000000"/>
          <w:sz w:val="16"/>
          <w:szCs w:val="16"/>
        </w:rPr>
        <w:t xml:space="preserve">6.2.1. Отказ Потребителя от получения медицинских услуг по Договору оформляется в письменной форме и направляется Исполнителю. Исполнитель информирует Потребителя (Заказчика) о расторжении Договора по инициативе Потребителя и возвращает уплаченные Потребителем денежные средства, удерживая фактически понесенные Исполнителем расходы, связанные с исполнением обязательств по договору, в течение 10 дней с момента получения отказа Потребителя. </w:t>
      </w:r>
    </w:p>
    <w:p>
      <w:pPr>
        <w:pStyle w:val="Normal"/>
        <w:jc w:val="center"/>
        <w:rPr>
          <w:sz w:val="16"/>
          <w:szCs w:val="16"/>
        </w:rPr>
      </w:pPr>
      <w:r>
        <w:rPr>
          <w:rFonts w:eastAsia="Times New Roman" w:cs="Arial" w:ascii="Arial" w:hAnsi="Arial"/>
          <w:b/>
          <w:bCs/>
          <w:color w:val="000000"/>
          <w:sz w:val="16"/>
          <w:szCs w:val="16"/>
        </w:rPr>
        <w:t>7. Заключительные положения</w:t>
      </w:r>
    </w:p>
    <w:p>
      <w:pPr>
        <w:pStyle w:val="Normal"/>
        <w:jc w:val="both"/>
        <w:rPr>
          <w:sz w:val="16"/>
          <w:szCs w:val="16"/>
        </w:rPr>
      </w:pPr>
      <w:r>
        <w:rPr>
          <w:rFonts w:eastAsia="Times New Roman" w:cs="Arial" w:ascii="Arial" w:hAnsi="Arial"/>
          <w:color w:val="000000"/>
          <w:sz w:val="16"/>
          <w:szCs w:val="16"/>
        </w:rPr>
        <w:t>7.1. Договор заключён в 2-х экземплярах, имеющих одинаковую юридическую силу, по одному экземпляру для каждой Стороны. В случае если Договор заключается между Исполнителем и Заказчиком в пользу Потребителя, то Договор заключается в 3-х экземплярах, один из которых находится у Исполнителя, второй – у Заказчика, третий – у Потребителя.</w:t>
      </w:r>
    </w:p>
    <w:p>
      <w:pPr>
        <w:pStyle w:val="Normal"/>
        <w:jc w:val="both"/>
        <w:rPr>
          <w:sz w:val="16"/>
          <w:szCs w:val="16"/>
        </w:rPr>
      </w:pPr>
      <w:r>
        <w:rPr>
          <w:rFonts w:eastAsia="Times New Roman" w:cs="Arial" w:ascii="Arial" w:hAnsi="Arial"/>
          <w:color w:val="000000"/>
          <w:sz w:val="16"/>
          <w:szCs w:val="16"/>
        </w:rPr>
        <w:t>7.2. Договор вступает в силу с момента подписания его сторонами и действует до полного исполнения сторонами своих обязательств.</w:t>
      </w:r>
    </w:p>
    <w:p>
      <w:pPr>
        <w:pStyle w:val="Normal"/>
        <w:jc w:val="both"/>
        <w:rPr>
          <w:sz w:val="16"/>
          <w:szCs w:val="16"/>
        </w:rPr>
      </w:pPr>
      <w:r>
        <w:rPr>
          <w:rFonts w:eastAsia="Times New Roman" w:cs="Arial" w:ascii="Arial" w:hAnsi="Arial"/>
          <w:color w:val="000000"/>
          <w:sz w:val="16"/>
          <w:szCs w:val="16"/>
        </w:rPr>
        <w:t>7.3. Подписывая Договор, Потребитель (Заказчик) подтверждает, что:</w:t>
      </w:r>
    </w:p>
    <w:p>
      <w:pPr>
        <w:pStyle w:val="Normal"/>
        <w:jc w:val="both"/>
        <w:rPr>
          <w:sz w:val="16"/>
          <w:szCs w:val="16"/>
        </w:rPr>
      </w:pPr>
      <w:r>
        <w:rPr>
          <w:rFonts w:eastAsia="Times New Roman" w:cs="Arial" w:ascii="Arial" w:hAnsi="Arial"/>
          <w:color w:val="000000"/>
          <w:sz w:val="16"/>
          <w:szCs w:val="16"/>
        </w:rPr>
        <w:t>а) осознает и понимает предоставленную ему в полном объеме и в доступной форме информацию:</w:t>
      </w:r>
    </w:p>
    <w:p>
      <w:pPr>
        <w:pStyle w:val="Normal"/>
        <w:jc w:val="both"/>
        <w:rPr>
          <w:sz w:val="16"/>
          <w:szCs w:val="16"/>
        </w:rPr>
      </w:pPr>
      <w:r>
        <w:rPr>
          <w:rFonts w:eastAsia="Times New Roman" w:cs="Arial" w:ascii="Arial" w:hAnsi="Arial"/>
          <w:color w:val="000000"/>
          <w:sz w:val="16"/>
          <w:szCs w:val="16"/>
        </w:rPr>
        <w:t>- о возможности получения соответствующих видов и объёмов медицинской помощи без взимания платы в рамках программы государственных гарантий бесплатного оказания гражданам медицинской помощи и территориальной программы государственных гарантий. Отказ от заключения настоящего Договора и (или) от предлагаемых платных медицинских услуг не может быть причиной уменьшения видов и объёмов медицинской помощи, оказываемой Потребителю бесплатно.</w:t>
      </w:r>
    </w:p>
    <w:p>
      <w:pPr>
        <w:pStyle w:val="Normal"/>
        <w:jc w:val="both"/>
        <w:rPr>
          <w:rFonts w:ascii="Arial" w:hAnsi="Arial" w:eastAsia="Times New Roman" w:cs="Arial"/>
          <w:color w:val="000000"/>
          <w:sz w:val="16"/>
          <w:szCs w:val="16"/>
        </w:rPr>
      </w:pPr>
      <w:r>
        <w:rPr>
          <w:rFonts w:eastAsia="Times New Roman" w:cs="Arial" w:ascii="Arial" w:hAnsi="Arial"/>
          <w:color w:val="000000"/>
          <w:sz w:val="16"/>
          <w:szCs w:val="16"/>
        </w:rPr>
        <w:t>- о возможности осуществления отдельных консультаций или медицинских вмешательств, в том числе в объёме, превышающем объём выполняемого стандарта медицинской помощи;</w:t>
      </w:r>
    </w:p>
    <w:p>
      <w:pPr>
        <w:pStyle w:val="Normal"/>
        <w:jc w:val="both"/>
        <w:rPr>
          <w:rFonts w:ascii="Arial" w:hAnsi="Arial" w:eastAsia="Times New Roman" w:cs="Arial"/>
          <w:color w:val="000000"/>
          <w:sz w:val="16"/>
          <w:szCs w:val="16"/>
        </w:rPr>
      </w:pPr>
      <w:r>
        <w:rPr>
          <w:rFonts w:eastAsia="Times New Roman" w:cs="Arial" w:ascii="Arial" w:hAnsi="Arial"/>
          <w:color w:val="000000"/>
          <w:sz w:val="16"/>
          <w:szCs w:val="16"/>
        </w:rPr>
        <w:t>- о медицинских работниках, отвечающих за предоставление соответствующей медицинской услуги (профессиональное образование и квалификация, график работы). Информация размещена на информационных стендах (стойках) Исполнителя, а также на сайте Исполнителя https://nardis.su в сети «Интернет»;</w:t>
      </w:r>
    </w:p>
    <w:p>
      <w:pPr>
        <w:pStyle w:val="Normal"/>
        <w:jc w:val="both"/>
        <w:rPr>
          <w:sz w:val="16"/>
          <w:szCs w:val="16"/>
        </w:rPr>
      </w:pPr>
      <w:r>
        <w:rPr>
          <w:rFonts w:eastAsia="Times New Roman" w:cs="Arial" w:ascii="Arial" w:hAnsi="Arial"/>
          <w:color w:val="000000"/>
          <w:sz w:val="16"/>
          <w:szCs w:val="16"/>
        </w:rPr>
        <w:t>- о том, что несоблюдение указаний (рекомендаций) Исполнителя (медицинского работника, предоставляющего платную медицинскую услугу), в том числе назначенного режима лечения, может снизить качество предоставляемой платной медицинской услуги, повлечь за собой невозможность ее завершения в срок или отрицательно сказаться на состоянии здоровья потребителя.</w:t>
      </w:r>
    </w:p>
    <w:p>
      <w:pPr>
        <w:pStyle w:val="Normal"/>
        <w:jc w:val="both"/>
        <w:rPr>
          <w:sz w:val="16"/>
          <w:szCs w:val="16"/>
        </w:rPr>
      </w:pPr>
      <w:r>
        <w:rPr>
          <w:rFonts w:eastAsia="Times New Roman" w:cs="Arial" w:ascii="Arial" w:hAnsi="Arial"/>
          <w:color w:val="000000"/>
          <w:sz w:val="16"/>
          <w:szCs w:val="16"/>
        </w:rPr>
        <w:t>б) ознакомлен с Порядком оказания медицинской помощи по профилю «психиатрия-наркология»</w:t>
      </w:r>
      <w:r>
        <w:rPr>
          <w:rFonts w:eastAsia="Times New Roman" w:cs="Arial" w:ascii="Arial" w:hAnsi="Arial"/>
          <w:bCs/>
          <w:color w:val="000000"/>
          <w:sz w:val="16"/>
          <w:szCs w:val="16"/>
        </w:rPr>
        <w:t xml:space="preserve"> (утв. Приказом Минздрава России от 13.11.2025 № 666н), клиническими рекомендациями, стандартами медицинской помощи, применяемыми при предоставлении медицинских услуг;                                                         </w:t>
      </w:r>
    </w:p>
    <w:p>
      <w:pPr>
        <w:pStyle w:val="Normal"/>
        <w:jc w:val="both"/>
        <w:rPr>
          <w:sz w:val="16"/>
          <w:szCs w:val="16"/>
        </w:rPr>
      </w:pPr>
      <w:r>
        <w:rPr>
          <w:rFonts w:eastAsia="Times New Roman" w:cs="Arial" w:ascii="Arial" w:hAnsi="Arial"/>
          <w:color w:val="000000"/>
          <w:sz w:val="16"/>
          <w:szCs w:val="16"/>
        </w:rPr>
        <w:t>в) добровольно согласился на получение медицинских услуг на платной основе, оказываемых Исполнителем в соответствии с подпунктом «г» пункта 8 Правил предоставления медицинскими организациями платных медицинских услуг (при самостоятельном обращении).</w:t>
      </w:r>
    </w:p>
    <w:p>
      <w:pPr>
        <w:pStyle w:val="Normal"/>
        <w:jc w:val="center"/>
        <w:rPr>
          <w:rFonts w:ascii="Arial" w:hAnsi="Arial" w:eastAsia="Times New Roman" w:cs="Arial"/>
          <w:b/>
          <w:bCs/>
          <w:color w:val="000000"/>
          <w:sz w:val="17"/>
          <w:szCs w:val="17"/>
        </w:rPr>
      </w:pPr>
      <w:r>
        <w:rPr>
          <w:rFonts w:eastAsia="Times New Roman" w:cs="Arial" w:ascii="Arial" w:hAnsi="Arial"/>
          <w:b/>
          <w:bCs/>
          <w:color w:val="000000"/>
          <w:sz w:val="17"/>
          <w:szCs w:val="17"/>
        </w:rPr>
        <w:t>8. Реквизиты и подписи Сторон</w:t>
      </w:r>
    </w:p>
    <w:tbl>
      <w:tblPr>
        <w:tblStyle w:val="afa"/>
        <w:tblW w:w="10685"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2036"/>
        <w:gridCol w:w="2638"/>
        <w:gridCol w:w="2720"/>
        <w:gridCol w:w="425"/>
        <w:gridCol w:w="2866"/>
      </w:tblGrid>
      <w:tr>
        <w:trPr/>
        <w:tc>
          <w:tcPr>
            <w:tcW w:w="2036" w:type="dxa"/>
            <w:tcBorders>
              <w:top w:val="nil"/>
              <w:start w:val="nil"/>
              <w:bottom w:val="nil"/>
              <w:end w:val="nil"/>
            </w:tcBorders>
          </w:tcPr>
          <w:p>
            <w:pPr>
              <w:pStyle w:val="Normal"/>
              <w:widowControl/>
              <w:suppressAutoHyphens w:val="true"/>
              <w:spacing w:before="0" w:after="0"/>
              <w:jc w:val="center"/>
              <w:rPr>
                <w:sz w:val="20"/>
              </w:rPr>
            </w:pPr>
            <w:r>
              <w:rPr>
                <w:rFonts w:eastAsia="Times New Roman" w:cs="Arial" w:ascii="Arial" w:hAnsi="Arial"/>
                <w:b/>
                <w:kern w:val="0"/>
                <w:sz w:val="17"/>
                <w:szCs w:val="17"/>
                <w:lang w:val="ru-RU" w:eastAsia="ru-RU" w:bidi="ar-SA"/>
              </w:rPr>
              <w:t>Исполнитель:</w:t>
            </w:r>
          </w:p>
        </w:tc>
        <w:tc>
          <w:tcPr>
            <w:tcW w:w="2638" w:type="dxa"/>
            <w:tcBorders>
              <w:top w:val="nil"/>
              <w:start w:val="nil"/>
              <w:bottom w:val="nil"/>
              <w:end w:val="nil"/>
            </w:tcBorders>
          </w:tcPr>
          <w:p>
            <w:pPr>
              <w:pStyle w:val="Normal"/>
              <w:widowControl/>
              <w:suppressAutoHyphens w:val="true"/>
              <w:spacing w:before="0" w:after="0"/>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720" w:type="dxa"/>
            <w:tcBorders>
              <w:top w:val="nil"/>
              <w:start w:val="nil"/>
              <w:bottom w:val="nil"/>
              <w:end w:val="nil"/>
            </w:tcBorders>
          </w:tcPr>
          <w:p>
            <w:pPr>
              <w:pStyle w:val="Normal"/>
              <w:widowControl/>
              <w:suppressAutoHyphens w:val="true"/>
              <w:spacing w:before="0" w:after="0"/>
              <w:jc w:val="center"/>
              <w:rPr>
                <w:sz w:val="20"/>
              </w:rPr>
            </w:pPr>
            <w:r>
              <w:rPr>
                <w:rFonts w:eastAsia="Times New Roman" w:cs="Arial" w:ascii="Arial" w:hAnsi="Arial"/>
                <w:b/>
                <w:bCs/>
                <w:color w:val="000000"/>
                <w:kern w:val="0"/>
                <w:sz w:val="17"/>
                <w:szCs w:val="17"/>
                <w:lang w:val="ru-RU" w:eastAsia="ru-RU" w:bidi="ar-SA"/>
              </w:rPr>
              <w:t>Заказчик:</w:t>
            </w:r>
          </w:p>
          <w:p>
            <w:pPr>
              <w:pStyle w:val="Normal"/>
              <w:widowControl/>
              <w:suppressAutoHyphens w:val="true"/>
              <w:spacing w:before="0" w:after="0"/>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center"/>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bottom w:val="nil"/>
              <w:end w:val="nil"/>
            </w:tcBorders>
          </w:tcPr>
          <w:p>
            <w:pPr>
              <w:pStyle w:val="Normal"/>
              <w:widowControl/>
              <w:suppressAutoHyphens w:val="true"/>
              <w:spacing w:before="0" w:after="0"/>
              <w:jc w:val="center"/>
              <w:rPr>
                <w:sz w:val="20"/>
              </w:rPr>
            </w:pPr>
            <w:r>
              <w:rPr>
                <w:rFonts w:eastAsia="Times New Roman" w:cs="Arial" w:ascii="Arial" w:hAnsi="Arial"/>
                <w:b/>
                <w:bCs/>
                <w:color w:val="000000"/>
                <w:kern w:val="0"/>
                <w:sz w:val="17"/>
                <w:szCs w:val="17"/>
                <w:lang w:val="ru-RU" w:eastAsia="ru-RU" w:bidi="ar-SA"/>
              </w:rPr>
              <w:t>Потребитель/законный представитель Потребителя:</w:t>
            </w:r>
          </w:p>
        </w:tc>
      </w:tr>
      <w:tr>
        <w:trPr/>
        <w:tc>
          <w:tcPr>
            <w:tcW w:w="2036" w:type="dxa"/>
            <w:vMerge w:val="restart"/>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ГБУЗ  ННД, 654005,</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г. Новокузнецк,</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пр. Строителей, 61,</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ОГРН 1024201475000,</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ИНН 4217013595</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Фамилия:</w:t>
            </w:r>
          </w:p>
        </w:tc>
        <w:tc>
          <w:tcPr>
            <w:tcW w:w="2720"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Имя:</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Отчество (при наличии):</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Адрес места жительства:</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Иные адреса (при наличии):</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kern w:val="0"/>
                <w:sz w:val="17"/>
                <w:szCs w:val="17"/>
                <w:lang w:val="ru-RU" w:eastAsia="ru-RU" w:bidi="ar-SA"/>
              </w:rPr>
              <w:t>Паспорт:</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c>
          <w:tcPr>
            <w:tcW w:w="2036" w:type="dxa"/>
            <w:vMerge w:val="continue"/>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b/>
                <w:bCs/>
                <w:color w:val="000000"/>
                <w:sz w:val="17"/>
                <w:szCs w:val="17"/>
              </w:rPr>
            </w:pPr>
            <w:r>
              <w:rPr>
                <w:rFonts w:eastAsia="Times New Roman" w:cs="Arial" w:ascii="Arial" w:hAnsi="Arial"/>
                <w:bCs/>
                <w:color w:val="000000"/>
                <w:kern w:val="0"/>
                <w:sz w:val="17"/>
                <w:szCs w:val="17"/>
                <w:lang w:val="ru-RU" w:eastAsia="ru-RU" w:bidi="ar-SA"/>
              </w:rPr>
              <w:t>Телефон:</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608" w:hRule="atLeast"/>
        </w:trPr>
        <w:tc>
          <w:tcPr>
            <w:tcW w:w="2036" w:type="dxa"/>
            <w:tcBorders>
              <w:top w:val="nil"/>
              <w:start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И.о. главного врача</w:t>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Георгиевская О.В.</w:t>
            </w:r>
          </w:p>
        </w:tc>
        <w:tc>
          <w:tcPr>
            <w:tcW w:w="2638" w:type="dxa"/>
            <w:tcBorders>
              <w:top w:val="nil"/>
              <w:start w:val="nil"/>
              <w:bottom w:val="nil"/>
              <w:end w:val="nil"/>
            </w:tcBorders>
            <w:vAlign w:val="bottom"/>
          </w:tcPr>
          <w:p>
            <w:pPr>
              <w:pStyle w:val="Normal"/>
              <w:widowControl/>
              <w:suppressAutoHyphens w:val="true"/>
              <w:spacing w:before="0" w:after="0"/>
              <w:jc w:val="end"/>
              <w:rPr>
                <w:rFonts w:ascii="Arial" w:hAnsi="Arial" w:eastAsia="Times New Roman" w:cs="Arial"/>
                <w:bCs/>
                <w:color w:val="000000"/>
                <w:sz w:val="17"/>
                <w:szCs w:val="17"/>
              </w:rPr>
            </w:pPr>
            <w:r>
              <w:rPr>
                <w:rFonts w:eastAsia="Times New Roman" w:cs="Arial" w:ascii="Arial" w:hAnsi="Arial"/>
                <w:bCs/>
                <w:color w:val="000000"/>
                <w:kern w:val="0"/>
                <w:sz w:val="17"/>
                <w:szCs w:val="17"/>
                <w:lang w:val="ru-RU" w:eastAsia="ru-RU" w:bidi="ar-SA"/>
              </w:rPr>
              <w:t>Подпись:</w:t>
            </w:r>
          </w:p>
        </w:tc>
        <w:tc>
          <w:tcPr>
            <w:tcW w:w="2720"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r>
        <w:trPr>
          <w:trHeight w:val="1063" w:hRule="atLeast"/>
        </w:trPr>
        <w:tc>
          <w:tcPr>
            <w:tcW w:w="2036" w:type="dxa"/>
            <w:tcBorders>
              <w:top w:val="nil"/>
              <w:start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sz w:val="17"/>
                <w:szCs w:val="17"/>
              </w:rPr>
            </w:r>
          </w:p>
        </w:tc>
        <w:tc>
          <w:tcPr>
            <w:tcW w:w="2638" w:type="dxa"/>
            <w:tcBorders>
              <w:top w:val="nil"/>
              <w:start w:val="nil"/>
              <w:bottom w:val="nil"/>
              <w:end w:val="nil"/>
            </w:tcBorders>
          </w:tcPr>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Наименование ЮЛ:</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Юридический адрес:</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ОГРН:</w:t>
            </w:r>
          </w:p>
          <w:p>
            <w:pPr>
              <w:pStyle w:val="Normal"/>
              <w:widowControl/>
              <w:suppressAutoHyphens w:val="true"/>
              <w:spacing w:before="0" w:after="0"/>
              <w:jc w:val="end"/>
              <w:rPr>
                <w:rFonts w:ascii="Arial" w:hAnsi="Arial" w:eastAsia="Times New Roman" w:cs="Arial"/>
                <w:color w:val="000000"/>
                <w:sz w:val="17"/>
                <w:szCs w:val="17"/>
              </w:rPr>
            </w:pPr>
            <w:r>
              <w:rPr>
                <w:rFonts w:eastAsia="Times New Roman" w:cs="Arial" w:ascii="Arial" w:hAnsi="Arial"/>
                <w:color w:val="000000"/>
                <w:kern w:val="0"/>
                <w:sz w:val="17"/>
                <w:szCs w:val="17"/>
                <w:lang w:val="ru-RU" w:eastAsia="ru-RU" w:bidi="ar-SA"/>
              </w:rPr>
              <w:t>Должность и Ф.И.О. подписанта:</w:t>
            </w:r>
          </w:p>
        </w:tc>
        <w:tc>
          <w:tcPr>
            <w:tcW w:w="2720"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425" w:type="dxa"/>
            <w:tcBorders>
              <w:top w:val="nil"/>
              <w:start w:val="nil"/>
              <w:bottom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c>
          <w:tcPr>
            <w:tcW w:w="2866" w:type="dxa"/>
            <w:tcBorders>
              <w:top w:val="nil"/>
              <w:start w:val="nil"/>
              <w:end w:val="nil"/>
            </w:tcBorders>
          </w:tcPr>
          <w:p>
            <w:pPr>
              <w:pStyle w:val="Normal"/>
              <w:widowControl/>
              <w:suppressAutoHyphens w:val="true"/>
              <w:spacing w:before="0" w:after="0"/>
              <w:jc w:val="start"/>
              <w:rPr>
                <w:rFonts w:ascii="Arial" w:hAnsi="Arial" w:eastAsia="Times New Roman" w:cs="Arial"/>
                <w:b/>
                <w:bCs/>
                <w:color w:val="000000"/>
                <w:sz w:val="17"/>
                <w:szCs w:val="17"/>
              </w:rPr>
            </w:pPr>
            <w:r>
              <w:rPr>
                <w:rFonts w:eastAsia="Times New Roman" w:cs="Arial" w:ascii="Arial" w:hAnsi="Arial"/>
                <w:b/>
                <w:bCs/>
                <w:color w:val="000000"/>
                <w:sz w:val="17"/>
                <w:szCs w:val="17"/>
              </w:rPr>
            </w:r>
          </w:p>
        </w:tc>
      </w:tr>
    </w:tbl>
    <w:p>
      <w:pPr>
        <w:pStyle w:val="Normal"/>
        <w:rPr>
          <w:rFonts w:ascii="Arial" w:hAnsi="Arial" w:cs="Arial"/>
          <w:color w:val="000000"/>
          <w:sz w:val="17"/>
          <w:szCs w:val="17"/>
        </w:rPr>
      </w:pPr>
      <w:r>
        <w:rPr>
          <w:rFonts w:cs="Arial" w:ascii="Arial" w:hAnsi="Arial"/>
          <w:color w:val="000000"/>
          <w:sz w:val="17"/>
          <w:szCs w:val="17"/>
        </w:rPr>
        <w:t xml:space="preserve">                                     </w:t>
      </w:r>
    </w:p>
    <w:p>
      <w:pPr>
        <w:pStyle w:val="Normal"/>
        <w:rPr>
          <w:rFonts w:ascii="Arial" w:hAnsi="Arial" w:cs="Arial"/>
          <w:color w:val="000000"/>
          <w:sz w:val="17"/>
          <w:szCs w:val="17"/>
        </w:rPr>
      </w:pPr>
      <w:r>
        <w:rPr>
          <w:rFonts w:cs="Arial" w:ascii="Arial" w:hAnsi="Arial"/>
          <w:color w:val="000000"/>
          <w:sz w:val="17"/>
          <w:szCs w:val="17"/>
        </w:rPr>
      </w:r>
      <w:r>
        <w:br w:type="page"/>
      </w:r>
    </w:p>
    <w:p>
      <w:pPr>
        <w:pStyle w:val="Normal"/>
        <w:spacing w:before="0" w:after="0"/>
        <w:jc w:val="end"/>
        <w:rPr/>
      </w:pPr>
      <w:r>
        <w:rPr>
          <w:rFonts w:ascii="Arial" w:hAnsi="Arial"/>
          <w:sz w:val="16"/>
          <w:szCs w:val="16"/>
        </w:rPr>
        <w:t xml:space="preserve">Приложение № 1 к договору на оказание платных медицинских услуг </w:t>
      </w:r>
    </w:p>
    <w:p>
      <w:pPr>
        <w:pStyle w:val="Normal"/>
        <w:jc w:val="end"/>
        <w:rPr>
          <w:rFonts w:ascii="Arial" w:hAnsi="Arial"/>
          <w:sz w:val="16"/>
          <w:szCs w:val="16"/>
        </w:rPr>
      </w:pPr>
      <w:r>
        <w:rPr>
          <w:rFonts w:ascii="Arial" w:hAnsi="Arial"/>
          <w:sz w:val="16"/>
          <w:szCs w:val="16"/>
        </w:rPr>
        <w:t>(медицинский осмотр — освидетельствование)</w:t>
      </w:r>
    </w:p>
    <w:p>
      <w:pPr>
        <w:pStyle w:val="Normal"/>
        <w:rPr>
          <w:rFonts w:ascii="Arial" w:hAnsi="Arial" w:cs="Arial"/>
          <w:color w:val="000000"/>
          <w:sz w:val="17"/>
          <w:szCs w:val="17"/>
        </w:rPr>
      </w:pPr>
      <w:r>
        <w:rPr>
          <w:rFonts w:cs="Arial" w:ascii="Arial" w:hAnsi="Arial"/>
          <w:color w:val="000000"/>
          <w:sz w:val="17"/>
          <w:szCs w:val="17"/>
        </w:rPr>
      </w:r>
    </w:p>
    <w:p>
      <w:pPr>
        <w:pStyle w:val="Normal"/>
        <w:jc w:val="center"/>
        <w:rPr>
          <w:rFonts w:ascii="Arial" w:hAnsi="Arial" w:cs="Arial"/>
          <w:color w:val="000000"/>
          <w:sz w:val="17"/>
          <w:szCs w:val="17"/>
        </w:rPr>
      </w:pPr>
      <w:r>
        <w:rPr>
          <w:rFonts w:eastAsia="Times New Roman" w:cs="Arial" w:ascii="Arial" w:hAnsi="Arial"/>
          <w:color w:val="000000"/>
          <w:sz w:val="16"/>
          <w:szCs w:val="16"/>
        </w:rPr>
        <w:t>Перечень медицинских услуг, оказываемых по договору (определяется путем проставления знака «</w:t>
      </w:r>
      <w:r>
        <w:rPr>
          <w:rFonts w:eastAsia="Times New Roman" w:cs="Arial" w:ascii="Arial" w:hAnsi="Arial"/>
          <w:color w:val="000000"/>
          <w:sz w:val="16"/>
          <w:szCs w:val="16"/>
          <w:lang w:val="en-US"/>
        </w:rPr>
        <w:t>V</w:t>
      </w:r>
      <w:r>
        <w:rPr>
          <w:rFonts w:eastAsia="Times New Roman" w:cs="Arial" w:ascii="Arial" w:hAnsi="Arial"/>
          <w:color w:val="000000"/>
          <w:sz w:val="16"/>
          <w:szCs w:val="16"/>
        </w:rPr>
        <w:t>» в графе «Выбор»)</w:t>
      </w:r>
    </w:p>
    <w:tbl>
      <w:tblPr>
        <w:tblW w:w="10514" w:type="dxa"/>
        <w:jc w:val="start"/>
        <w:tblInd w:w="50" w:type="dxa"/>
        <w:tblLayout w:type="fixed"/>
        <w:tblCellMar>
          <w:top w:w="28" w:type="dxa"/>
          <w:start w:w="28" w:type="dxa"/>
          <w:bottom w:w="28" w:type="dxa"/>
          <w:end w:w="28" w:type="dxa"/>
        </w:tblCellMar>
      </w:tblPr>
      <w:tblGrid>
        <w:gridCol w:w="477"/>
        <w:gridCol w:w="1286"/>
        <w:gridCol w:w="6993"/>
        <w:gridCol w:w="681"/>
        <w:gridCol w:w="514"/>
        <w:gridCol w:w="563"/>
      </w:tblGrid>
      <w:tr>
        <w:trPr/>
        <w:tc>
          <w:tcPr>
            <w:tcW w:w="477" w:type="dxa"/>
            <w:tcBorders>
              <w:top w:val="single" w:sz="2" w:space="0" w:color="000000"/>
              <w:start w:val="single" w:sz="2" w:space="0" w:color="000000"/>
              <w:bottom w:val="single" w:sz="2" w:space="0" w:color="000000"/>
            </w:tcBorders>
            <w:vAlign w:val="center"/>
          </w:tcPr>
          <w:p>
            <w:pPr>
              <w:pStyle w:val="user3"/>
              <w:jc w:val="center"/>
              <w:rPr>
                <w:rFonts w:ascii="Arial" w:hAnsi="Arial"/>
                <w:sz w:val="16"/>
                <w:szCs w:val="16"/>
              </w:rPr>
            </w:pPr>
            <w:r>
              <w:rPr>
                <w:rFonts w:ascii="Arial" w:hAnsi="Arial"/>
                <w:sz w:val="16"/>
                <w:szCs w:val="16"/>
              </w:rPr>
              <w:t xml:space="preserve">№ </w:t>
            </w:r>
            <w:r>
              <w:rPr>
                <w:rFonts w:ascii="Arial" w:hAnsi="Arial"/>
                <w:sz w:val="16"/>
                <w:szCs w:val="16"/>
              </w:rPr>
              <w:t>п/п</w:t>
            </w:r>
          </w:p>
        </w:tc>
        <w:tc>
          <w:tcPr>
            <w:tcW w:w="1286" w:type="dxa"/>
            <w:tcBorders>
              <w:top w:val="single" w:sz="2" w:space="0" w:color="000000"/>
              <w:start w:val="single" w:sz="2" w:space="0" w:color="000000"/>
              <w:bottom w:val="single" w:sz="2" w:space="0" w:color="000000"/>
            </w:tcBorders>
            <w:vAlign w:val="center"/>
          </w:tcPr>
          <w:p>
            <w:pPr>
              <w:pStyle w:val="user3"/>
              <w:jc w:val="center"/>
              <w:rPr>
                <w:rFonts w:ascii="Arial" w:hAnsi="Arial"/>
                <w:sz w:val="16"/>
                <w:szCs w:val="16"/>
              </w:rPr>
            </w:pPr>
            <w:r>
              <w:rPr>
                <w:rFonts w:ascii="Arial" w:hAnsi="Arial"/>
                <w:sz w:val="16"/>
                <w:szCs w:val="16"/>
              </w:rPr>
              <w:t>Код</w:t>
            </w:r>
          </w:p>
        </w:tc>
        <w:tc>
          <w:tcPr>
            <w:tcW w:w="6993" w:type="dxa"/>
            <w:tcBorders>
              <w:top w:val="single" w:sz="2" w:space="0" w:color="000000"/>
              <w:start w:val="single" w:sz="2" w:space="0" w:color="000000"/>
              <w:bottom w:val="single" w:sz="2" w:space="0" w:color="000000"/>
            </w:tcBorders>
            <w:vAlign w:val="center"/>
          </w:tcPr>
          <w:p>
            <w:pPr>
              <w:pStyle w:val="user3"/>
              <w:jc w:val="center"/>
              <w:rPr>
                <w:rFonts w:ascii="Arial" w:hAnsi="Arial"/>
                <w:sz w:val="16"/>
                <w:szCs w:val="16"/>
              </w:rPr>
            </w:pPr>
            <w:r>
              <w:rPr>
                <w:rFonts w:ascii="Arial" w:hAnsi="Arial"/>
                <w:sz w:val="16"/>
                <w:szCs w:val="16"/>
              </w:rPr>
              <w:t>Наименование услуги</w:t>
            </w:r>
          </w:p>
        </w:tc>
        <w:tc>
          <w:tcPr>
            <w:tcW w:w="681" w:type="dxa"/>
            <w:tcBorders>
              <w:top w:val="single" w:sz="2" w:space="0" w:color="000000"/>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Цена, руб.</w:t>
            </w:r>
          </w:p>
        </w:tc>
        <w:tc>
          <w:tcPr>
            <w:tcW w:w="514" w:type="dxa"/>
            <w:tcBorders>
              <w:top w:val="single" w:sz="2" w:space="0" w:color="000000"/>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Кол-во</w:t>
            </w:r>
          </w:p>
        </w:tc>
        <w:tc>
          <w:tcPr>
            <w:tcW w:w="563" w:type="dxa"/>
            <w:tcBorders>
              <w:top w:val="single" w:sz="2" w:space="0" w:color="000000"/>
              <w:start w:val="single" w:sz="2" w:space="0" w:color="000000"/>
              <w:bottom w:val="single" w:sz="2" w:space="0" w:color="000000"/>
              <w:end w:val="single" w:sz="2" w:space="0" w:color="000000"/>
            </w:tcBorders>
          </w:tcPr>
          <w:p>
            <w:pPr>
              <w:pStyle w:val="user3"/>
              <w:jc w:val="center"/>
              <w:rPr>
                <w:rFonts w:ascii="Arial" w:hAnsi="Arial"/>
                <w:sz w:val="16"/>
                <w:szCs w:val="16"/>
              </w:rPr>
            </w:pPr>
            <w:r>
              <w:rPr>
                <w:rFonts w:ascii="Arial" w:hAnsi="Arial"/>
                <w:sz w:val="16"/>
                <w:szCs w:val="16"/>
              </w:rPr>
              <w:t>Выбор</w:t>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w:t>
            </w:r>
          </w:p>
        </w:tc>
        <w:tc>
          <w:tcPr>
            <w:tcW w:w="1286" w:type="dxa"/>
            <w:vMerge w:val="restart"/>
            <w:tcBorders>
              <w:start w:val="single" w:sz="2" w:space="0" w:color="000000"/>
              <w:bottom w:val="single" w:sz="2" w:space="0" w:color="000000"/>
            </w:tcBorders>
          </w:tcPr>
          <w:p>
            <w:pPr>
              <w:pStyle w:val="Normal"/>
              <w:widowControl w:val="false"/>
              <w:jc w:val="center"/>
              <w:rPr>
                <w:rFonts w:ascii="Arial" w:hAnsi="Arial"/>
                <w:sz w:val="16"/>
                <w:szCs w:val="16"/>
              </w:rPr>
            </w:pPr>
            <w:r>
              <w:rPr>
                <w:rFonts w:eastAsia="Calibri" w:ascii="Arial" w:hAnsi="Arial"/>
                <w:bCs/>
                <w:sz w:val="16"/>
                <w:szCs w:val="16"/>
              </w:rPr>
              <w:t>В01.036.001</w:t>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ascii="Arial" w:hAnsi="Arial"/>
                <w:sz w:val="16"/>
                <w:szCs w:val="16"/>
              </w:rPr>
              <w:t>Прием (осмотр, консультация) врача-психиатра–нарколога первичный</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984,00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w:t>
            </w:r>
          </w:p>
        </w:tc>
        <w:tc>
          <w:tcPr>
            <w:tcW w:w="1286"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ascii="Arial" w:hAnsi="Arial"/>
                <w:sz w:val="16"/>
                <w:szCs w:val="16"/>
              </w:rPr>
              <w:t>Прием (осмотр, консультация) врача-психиатра–нарколога первичный заведующего отделением</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1 156,00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3</w:t>
            </w:r>
          </w:p>
        </w:tc>
        <w:tc>
          <w:tcPr>
            <w:tcW w:w="1286"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ascii="Arial" w:hAnsi="Arial"/>
                <w:sz w:val="16"/>
                <w:szCs w:val="16"/>
              </w:rPr>
              <w:t>Прием (осмотр, консультация) врача-психиатра–нарколога первичный без назначения лечения</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492,00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4</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В01.036.002</w:t>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ascii="Arial" w:hAnsi="Arial"/>
                <w:sz w:val="16"/>
                <w:szCs w:val="16"/>
              </w:rPr>
              <w:t>Прием (осмотр, консультация) врача-психиатра–нарколога повторный</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623,00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rHeight w:val="173" w:hRule="atLeast"/>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5</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А09.05.036.001</w:t>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sz w:val="16"/>
                <w:szCs w:val="16"/>
              </w:rPr>
              <w:t>Исследование уровня этанола, метанола в крови через выдыхаемый воздух</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212,00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6</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A11.12.009</w:t>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color w:val="000000"/>
                <w:sz w:val="16"/>
                <w:szCs w:val="16"/>
              </w:rPr>
              <w:t>Взятие крови из периферической вены</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348,00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7</w:t>
            </w:r>
          </w:p>
        </w:tc>
        <w:tc>
          <w:tcPr>
            <w:tcW w:w="1286" w:type="dxa"/>
            <w:tcBorders>
              <w:start w:val="single" w:sz="2" w:space="0" w:color="000000"/>
              <w:bottom w:val="single" w:sz="2" w:space="0" w:color="000000"/>
            </w:tcBorders>
          </w:tcPr>
          <w:p>
            <w:pPr>
              <w:pStyle w:val="Normal"/>
              <w:widowControl w:val="false"/>
              <w:jc w:val="center"/>
              <w:rPr>
                <w:rFonts w:ascii="Arial" w:hAnsi="Arial"/>
                <w:sz w:val="16"/>
                <w:szCs w:val="16"/>
              </w:rPr>
            </w:pPr>
            <w:r>
              <w:rPr>
                <w:rFonts w:eastAsia="Calibri" w:ascii="Arial" w:hAnsi="Arial"/>
                <w:bCs/>
                <w:sz w:val="16"/>
                <w:szCs w:val="16"/>
              </w:rPr>
              <w:t>А11.28.014</w:t>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Сбор мочи для лабораторного исследования</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146,00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rHeight w:val="133" w:hRule="atLeast"/>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8</w:t>
            </w:r>
          </w:p>
        </w:tc>
        <w:tc>
          <w:tcPr>
            <w:tcW w:w="1286" w:type="dxa"/>
            <w:vMerge w:val="restart"/>
            <w:tcBorders>
              <w:start w:val="single" w:sz="2" w:space="0" w:color="000000"/>
              <w:bottom w:val="single" w:sz="2" w:space="0" w:color="000000"/>
            </w:tcBorders>
          </w:tcPr>
          <w:p>
            <w:pPr>
              <w:pStyle w:val="Normal"/>
              <w:widowControl w:val="false"/>
              <w:jc w:val="center"/>
              <w:rPr>
                <w:rFonts w:ascii="Arial" w:hAnsi="Arial"/>
                <w:sz w:val="16"/>
                <w:szCs w:val="16"/>
              </w:rPr>
            </w:pPr>
            <w:r>
              <w:rPr>
                <w:rFonts w:eastAsia="Calibri" w:ascii="Arial" w:hAnsi="Arial"/>
                <w:bCs/>
                <w:sz w:val="16"/>
                <w:szCs w:val="16"/>
              </w:rPr>
              <w:t>А09.28.055</w:t>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 (этилглюкоронид)</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620,00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rHeight w:val="146" w:hRule="atLeast"/>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9</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 xml:space="preserve">Определение   психоактивных веществ в моче (5 групп: </w:t>
            </w:r>
            <w:r>
              <w:rPr>
                <w:rFonts w:ascii="Arial" w:hAnsi="Arial"/>
                <w:b w:val="false"/>
                <w:i w:val="false"/>
                <w:strike w:val="false"/>
                <w:dstrike w:val="false"/>
                <w:outline w:val="false"/>
                <w:shadow w:val="false"/>
                <w:sz w:val="16"/>
                <w:szCs w:val="16"/>
                <w:u w:val="none"/>
                <w:em w:val="none"/>
              </w:rPr>
              <w:t>опиаты,каннабиноиды, амфетамин, кокаин, бензодиазепины)</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1 064,00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10</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w:t>
            </w:r>
          </w:p>
          <w:p>
            <w:pPr>
              <w:pStyle w:val="Normal"/>
              <w:widowControl w:val="false"/>
              <w:rPr>
                <w:rFonts w:ascii="Arial" w:hAnsi="Arial"/>
                <w:sz w:val="16"/>
                <w:szCs w:val="16"/>
              </w:rPr>
            </w:pPr>
            <w:r>
              <w:rPr>
                <w:rFonts w:eastAsia="Calibri" w:ascii="Arial" w:hAnsi="Arial"/>
                <w:b w:val="false"/>
                <w:bCs w:val="false"/>
                <w:sz w:val="16"/>
                <w:szCs w:val="16"/>
              </w:rPr>
              <w:t>(</w:t>
            </w:r>
            <w:r>
              <w:rPr>
                <w:rFonts w:ascii="Arial" w:hAnsi="Arial"/>
                <w:b w:val="false"/>
                <w:bCs w:val="false"/>
                <w:i w:val="false"/>
                <w:strike w:val="false"/>
                <w:dstrike w:val="false"/>
                <w:outline w:val="false"/>
                <w:shadow w:val="false"/>
                <w:color w:val="auto"/>
                <w:sz w:val="16"/>
                <w:szCs w:val="16"/>
                <w:u w:val="none"/>
                <w:em w:val="none"/>
              </w:rPr>
              <w:t>7  групп:</w:t>
            </w:r>
            <w:r>
              <w:rPr>
                <w:rFonts w:ascii="Arial" w:hAnsi="Arial"/>
                <w:b w:val="false"/>
                <w:i w:val="false"/>
                <w:strike w:val="false"/>
                <w:dstrike w:val="false"/>
                <w:outline w:val="false"/>
                <w:shadow w:val="false"/>
                <w:color w:val="auto"/>
                <w:sz w:val="16"/>
                <w:szCs w:val="16"/>
                <w:u w:val="none"/>
                <w:em w:val="none"/>
              </w:rPr>
              <w:t xml:space="preserve">  опиаты, каннабиноиды, амфетамин, кокаин, барбитураты, метадон, фенциклидин)</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1 410,00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11</w:t>
            </w:r>
          </w:p>
        </w:tc>
        <w:tc>
          <w:tcPr>
            <w:tcW w:w="1286"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w:t>
            </w:r>
            <w:r>
              <w:rPr>
                <w:rFonts w:eastAsia="Calibri" w:ascii="Arial" w:hAnsi="Arial"/>
                <w:b w:val="false"/>
                <w:bCs w:val="false"/>
                <w:sz w:val="16"/>
                <w:szCs w:val="16"/>
              </w:rPr>
              <w:t xml:space="preserve"> (</w:t>
            </w:r>
            <w:r>
              <w:rPr>
                <w:rFonts w:ascii="Arial" w:hAnsi="Arial"/>
                <w:b w:val="false"/>
                <w:bCs w:val="false"/>
                <w:i w:val="false"/>
                <w:strike w:val="false"/>
                <w:dstrike w:val="false"/>
                <w:outline w:val="false"/>
                <w:shadow w:val="false"/>
                <w:color w:val="auto"/>
                <w:sz w:val="16"/>
                <w:szCs w:val="16"/>
                <w:u w:val="none"/>
                <w:em w:val="none"/>
              </w:rPr>
              <w:t>7  групп:</w:t>
            </w:r>
            <w:r>
              <w:rPr>
                <w:rFonts w:ascii="Arial" w:hAnsi="Arial"/>
                <w:b w:val="false"/>
                <w:i w:val="false"/>
                <w:strike w:val="false"/>
                <w:dstrike w:val="false"/>
                <w:outline w:val="false"/>
                <w:shadow w:val="false"/>
                <w:color w:val="auto"/>
                <w:sz w:val="16"/>
                <w:szCs w:val="16"/>
                <w:u w:val="none"/>
                <w:em w:val="none"/>
              </w:rPr>
              <w:t xml:space="preserve">  опиаты, </w:t>
            </w:r>
            <w:r>
              <w:rPr>
                <w:rFonts w:eastAsia="Calibri" w:ascii="Arial" w:hAnsi="Arial"/>
                <w:b w:val="false"/>
                <w:bCs/>
                <w:i w:val="false"/>
                <w:strike w:val="false"/>
                <w:dstrike w:val="false"/>
                <w:outline w:val="false"/>
                <w:shadow w:val="false"/>
                <w:color w:val="auto"/>
                <w:sz w:val="16"/>
                <w:szCs w:val="16"/>
                <w:u w:val="none"/>
                <w:em w:val="none"/>
              </w:rPr>
              <w:t>растительные и синтетические каннабиноиды, амфетамин, барбитураты, МДПВ,  бензодиазепины</w:t>
            </w:r>
            <w:r>
              <w:rPr>
                <w:rFonts w:ascii="Arial" w:hAnsi="Arial"/>
                <w:b w:val="false"/>
                <w:i w:val="false"/>
                <w:strike w:val="false"/>
                <w:dstrike w:val="false"/>
                <w:outline w:val="false"/>
                <w:shadow w:val="false"/>
                <w:color w:val="auto"/>
                <w:sz w:val="16"/>
                <w:szCs w:val="16"/>
                <w:u w:val="none"/>
                <w:em w:val="none"/>
              </w:rPr>
              <w:t xml:space="preserve"> )</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1 826,00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12</w:t>
            </w:r>
          </w:p>
        </w:tc>
        <w:tc>
          <w:tcPr>
            <w:tcW w:w="1286" w:type="dxa"/>
            <w:vMerge w:val="continue"/>
            <w:tcBorders>
              <w:start w:val="single" w:sz="2" w:space="0" w:color="000000"/>
              <w:bottom w:val="single" w:sz="2" w:space="0" w:color="000000"/>
            </w:tcBorders>
          </w:tcPr>
          <w:p>
            <w:pPr>
              <w:pStyle w:val="Normal"/>
              <w:widowControl w:val="false"/>
              <w:snapToGrid w:val="false"/>
              <w:jc w:val="center"/>
              <w:rPr>
                <w:rFonts w:ascii="Arial" w:hAnsi="Arial" w:eastAsia="Calibri"/>
                <w:bCs/>
                <w:sz w:val="16"/>
                <w:szCs w:val="16"/>
              </w:rPr>
            </w:pPr>
            <w:r>
              <w:rPr>
                <w:rFonts w:eastAsia="Calibri" w:ascii="Arial" w:hAnsi="Arial"/>
                <w:bCs/>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w:t>
            </w:r>
          </w:p>
          <w:p>
            <w:pPr>
              <w:pStyle w:val="Normal"/>
              <w:widowControl w:val="false"/>
              <w:rPr>
                <w:rFonts w:ascii="Arial" w:hAnsi="Arial"/>
                <w:sz w:val="16"/>
                <w:szCs w:val="16"/>
              </w:rPr>
            </w:pPr>
            <w:r>
              <w:rPr>
                <w:rFonts w:eastAsia="Times New Roman" w:ascii="Arial" w:hAnsi="Arial"/>
                <w:bCs/>
                <w:sz w:val="16"/>
                <w:szCs w:val="16"/>
              </w:rPr>
              <w:t xml:space="preserve"> </w:t>
            </w:r>
            <w:r>
              <w:rPr>
                <w:rFonts w:eastAsia="Calibri" w:ascii="Arial" w:hAnsi="Arial"/>
                <w:bCs/>
                <w:sz w:val="16"/>
                <w:szCs w:val="16"/>
              </w:rPr>
              <w:t>(8 веществ: опиаты, растительные и синтетические каннабиноиды, амфетамин, метамфетамин, синтетические катиноны, кокаин, метадон)</w:t>
            </w:r>
          </w:p>
        </w:tc>
        <w:tc>
          <w:tcPr>
            <w:tcW w:w="681" w:type="dxa"/>
            <w:tcBorders>
              <w:start w:val="single" w:sz="2" w:space="0" w:color="000000"/>
              <w:bottom w:val="single" w:sz="2" w:space="0" w:color="000000"/>
            </w:tcBorders>
          </w:tcPr>
          <w:p>
            <w:pPr>
              <w:pStyle w:val="Normal"/>
              <w:jc w:val="center"/>
              <w:rPr>
                <w:rFonts w:ascii="Arial" w:hAnsi="Arial"/>
                <w:sz w:val="16"/>
                <w:szCs w:val="16"/>
              </w:rPr>
            </w:pPr>
            <w:r>
              <w:rPr>
                <w:rFonts w:ascii="Arial" w:hAnsi="Arial"/>
                <w:sz w:val="16"/>
                <w:szCs w:val="16"/>
              </w:rPr>
              <w:t>1 965,00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13</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w:t>
            </w:r>
          </w:p>
          <w:p>
            <w:pPr>
              <w:pStyle w:val="Normal"/>
              <w:widowControl w:val="false"/>
              <w:rPr>
                <w:rFonts w:ascii="Arial" w:hAnsi="Arial"/>
                <w:sz w:val="16"/>
                <w:szCs w:val="16"/>
              </w:rPr>
            </w:pPr>
            <w:r>
              <w:rPr>
                <w:rFonts w:eastAsia="Times New Roman" w:ascii="Arial" w:hAnsi="Arial"/>
                <w:bCs/>
                <w:sz w:val="16"/>
                <w:szCs w:val="16"/>
              </w:rPr>
              <w:t xml:space="preserve"> </w:t>
            </w:r>
            <w:r>
              <w:rPr>
                <w:rFonts w:eastAsia="Calibri" w:ascii="Arial" w:hAnsi="Arial"/>
                <w:bCs/>
                <w:sz w:val="16"/>
                <w:szCs w:val="16"/>
              </w:rPr>
              <w:t>(8 веществ: опиаты, растительные и синтетические каннабиноиды, амфетамин, синтетические катиноны, барбитураты, бензодиазепины, этилглюкуронид)</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2 242,00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14</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Normal"/>
              <w:widowControl w:val="false"/>
              <w:rPr>
                <w:rFonts w:ascii="Arial" w:hAnsi="Arial"/>
                <w:sz w:val="16"/>
                <w:szCs w:val="16"/>
              </w:rPr>
            </w:pPr>
            <w:r>
              <w:rPr>
                <w:rFonts w:eastAsia="Calibri" w:ascii="Arial" w:hAnsi="Arial"/>
                <w:bCs/>
                <w:sz w:val="16"/>
                <w:szCs w:val="16"/>
              </w:rPr>
              <w:t>Определение   психоактивных веществ в моче</w:t>
            </w:r>
          </w:p>
          <w:p>
            <w:pPr>
              <w:pStyle w:val="Normal"/>
              <w:widowControl w:val="false"/>
              <w:rPr>
                <w:rFonts w:ascii="Arial" w:hAnsi="Arial"/>
                <w:sz w:val="16"/>
                <w:szCs w:val="16"/>
              </w:rPr>
            </w:pPr>
            <w:r>
              <w:rPr>
                <w:rFonts w:eastAsia="Calibri" w:ascii="Arial" w:hAnsi="Arial"/>
                <w:bCs/>
                <w:sz w:val="16"/>
                <w:szCs w:val="16"/>
              </w:rPr>
              <w:t xml:space="preserve">(10 веществ: опиаты, растительные и синтетические каннабиноиды, амфетамин, метамфетамин, синтетические катиноны, кокаин, метадон, </w:t>
            </w:r>
            <w:r>
              <w:rPr>
                <w:rFonts w:eastAsia="Calibri" w:cs="Times New Roman" w:ascii="Arial" w:hAnsi="Arial"/>
                <w:bCs/>
                <w:sz w:val="16"/>
                <w:szCs w:val="16"/>
              </w:rPr>
              <w:t>барбитураты, бензодиазепины)</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2 104,00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15</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eastAsia="Calibri" w:cs="Times New Roman" w:ascii="Arial" w:hAnsi="Arial"/>
                <w:bCs/>
                <w:sz w:val="16"/>
                <w:szCs w:val="16"/>
              </w:rPr>
              <w:t>Определение   психоактивных веществ в моче (</w:t>
            </w:r>
            <w:r>
              <w:rPr>
                <w:rFonts w:cs="Times New Roman" w:ascii="Arial" w:hAnsi="Arial"/>
                <w:sz w:val="16"/>
                <w:szCs w:val="16"/>
              </w:rPr>
              <w:t>11 веществ: опиаты, растительные и синтетические каннабиноиды, амфетамин, метамфетамин, синтетические катиноны, кокаин, метадон, барбитураты, бензодиазепины,этилглюкуронид)</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2 242,00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16</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eastAsia="Calibri" w:cs="Times New Roman" w:ascii="Arial" w:hAnsi="Arial"/>
                <w:bCs/>
                <w:sz w:val="16"/>
                <w:szCs w:val="16"/>
              </w:rPr>
              <w:t>Определение   психоактивных веществ в моче (</w:t>
            </w:r>
            <w:r>
              <w:rPr>
                <w:rFonts w:cs="Times New Roman" w:ascii="Arial" w:hAnsi="Arial"/>
                <w:sz w:val="16"/>
                <w:szCs w:val="16"/>
              </w:rPr>
              <w:t>11 веществ: опиаты, растительные и синтетические каннабиноиды, амфетамин, метамфетамин, синтетические катиноны, кокаин, метадон,барбитураты, бензодиазепины, фенциклидин)</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2 381,00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17</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eastAsia="Calibri" w:cs="Times New Roman" w:ascii="Arial" w:hAnsi="Arial"/>
                <w:bCs/>
                <w:sz w:val="16"/>
                <w:szCs w:val="16"/>
              </w:rPr>
              <w:t xml:space="preserve">Определение   психоактивных веществ в моче (12 </w:t>
            </w:r>
            <w:r>
              <w:rPr>
                <w:rFonts w:cs="Times New Roman" w:ascii="Arial" w:hAnsi="Arial"/>
                <w:sz w:val="16"/>
                <w:szCs w:val="16"/>
              </w:rPr>
              <w:t>веществ: опиаты, растительные и синтетические каннабиноиды, амфетамин, метамфетамин, синтетические катиноны, кокаин, метадон,барбитураты, бензодиазепины, фенциклидин,этилглюкуронид)</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2 381,00</w:t>
            </w:r>
          </w:p>
          <w:p>
            <w:pPr>
              <w:pStyle w:val="user3"/>
              <w:jc w:val="center"/>
              <w:rPr>
                <w:rFonts w:ascii="Arial" w:hAnsi="Arial"/>
                <w:sz w:val="16"/>
                <w:szCs w:val="16"/>
              </w:rPr>
            </w:pPr>
            <w:r>
              <w:rPr>
                <w:rFonts w:ascii="Arial" w:hAnsi="Arial"/>
                <w:sz w:val="16"/>
                <w:szCs w:val="16"/>
              </w:rPr>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18</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eastAsia="Calibri" w:cs="Times New Roman" w:ascii="Arial" w:hAnsi="Arial"/>
                <w:bCs/>
                <w:sz w:val="16"/>
                <w:szCs w:val="16"/>
              </w:rPr>
              <w:t>Определение   психоактивных веществ в моче (</w:t>
            </w:r>
            <w:r>
              <w:rPr>
                <w:rFonts w:cs="Times New Roman" w:ascii="Arial" w:hAnsi="Arial"/>
                <w:sz w:val="16"/>
                <w:szCs w:val="16"/>
              </w:rPr>
              <w:t>методом ГХ-МС )</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5 262,00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19</w:t>
            </w:r>
          </w:p>
        </w:tc>
        <w:tc>
          <w:tcPr>
            <w:tcW w:w="1286" w:type="dxa"/>
            <w:vMerge w:val="continue"/>
            <w:tcBorders>
              <w:start w:val="single" w:sz="2" w:space="0" w:color="000000"/>
              <w:bottom w:val="single" w:sz="2" w:space="0" w:color="000000"/>
            </w:tcBorders>
          </w:tcPr>
          <w:p>
            <w:pPr>
              <w:pStyle w:val="user3"/>
              <w:snapToGrid w:val="false"/>
              <w:jc w:val="center"/>
              <w:rPr>
                <w:rFonts w:ascii="Arial" w:hAnsi="Arial"/>
                <w:sz w:val="16"/>
                <w:szCs w:val="16"/>
              </w:rPr>
            </w:pPr>
            <w:r>
              <w:rPr>
                <w:rFonts w:ascii="Arial" w:hAnsi="Arial"/>
                <w:sz w:val="16"/>
                <w:szCs w:val="16"/>
              </w:rPr>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eastAsia="Calibri" w:cs="Times New Roman" w:ascii="Arial" w:hAnsi="Arial"/>
                <w:bCs/>
                <w:sz w:val="16"/>
                <w:szCs w:val="16"/>
              </w:rPr>
              <w:t>Определение   психоактивных веществ в моче (</w:t>
            </w:r>
            <w:r>
              <w:rPr>
                <w:rFonts w:cs="Times New Roman" w:ascii="Arial" w:hAnsi="Arial"/>
                <w:sz w:val="16"/>
                <w:szCs w:val="16"/>
              </w:rPr>
              <w:t>методом ВЭЖХ-МС )</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5 281,00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20</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color w:val="000000"/>
                <w:sz w:val="16"/>
                <w:szCs w:val="16"/>
              </w:rPr>
              <w:t>A09.05.041</w:t>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cs="Times New Roman" w:ascii="Arial" w:hAnsi="Arial"/>
                <w:sz w:val="16"/>
                <w:szCs w:val="16"/>
              </w:rPr>
              <w:t>Определение активности аспартатаминотрансферазы в крови</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120,00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21</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color w:val="000000"/>
                <w:sz w:val="16"/>
                <w:szCs w:val="16"/>
              </w:rPr>
              <w:t>A09.05.042</w:t>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cs="Times New Roman" w:ascii="Arial" w:hAnsi="Arial"/>
                <w:sz w:val="16"/>
                <w:szCs w:val="16"/>
              </w:rPr>
              <w:t>Определение активности аланинаминотрансферазы в крови</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120,00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22</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color w:val="000000"/>
                <w:sz w:val="16"/>
                <w:szCs w:val="16"/>
              </w:rPr>
              <w:t>A09.05.044</w:t>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cs="Times New Roman" w:ascii="Arial" w:hAnsi="Arial"/>
                <w:sz w:val="16"/>
                <w:szCs w:val="16"/>
              </w:rPr>
              <w:t>Определение активности гамма-глютамилтрансферазы в крови</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120,00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rHeight w:val="165" w:hRule="atLeast"/>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23</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B03.016.002</w:t>
            </w:r>
          </w:p>
        </w:tc>
        <w:tc>
          <w:tcPr>
            <w:tcW w:w="6993" w:type="dxa"/>
            <w:tcBorders>
              <w:start w:val="single" w:sz="2" w:space="0" w:color="000000"/>
              <w:bottom w:val="single" w:sz="2" w:space="0" w:color="000000"/>
            </w:tcBorders>
          </w:tcPr>
          <w:p>
            <w:pPr>
              <w:pStyle w:val="user3"/>
              <w:ind w:end="0"/>
              <w:jc w:val="start"/>
              <w:rPr>
                <w:rFonts w:ascii="Arial" w:hAnsi="Arial"/>
                <w:sz w:val="16"/>
                <w:szCs w:val="16"/>
              </w:rPr>
            </w:pPr>
            <w:r>
              <w:rPr>
                <w:rFonts w:cs="Times New Roman" w:ascii="Arial" w:hAnsi="Arial"/>
                <w:sz w:val="16"/>
                <w:szCs w:val="16"/>
              </w:rPr>
              <w:t>Общий (клинический) анализ крови</w:t>
            </w:r>
            <w:r>
              <w:rPr>
                <w:rFonts w:eastAsia="Times New Roman" w:cs="Times New Roman" w:ascii="Arial" w:hAnsi="Arial"/>
                <w:sz w:val="16"/>
                <w:szCs w:val="16"/>
              </w:rPr>
              <w:t xml:space="preserve"> </w:t>
            </w:r>
            <w:r>
              <w:rPr>
                <w:rFonts w:cs="Times New Roman" w:ascii="Arial" w:hAnsi="Arial"/>
                <w:sz w:val="16"/>
                <w:szCs w:val="16"/>
              </w:rPr>
              <w:t>(гематологический анализатор)</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222,00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24</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А09.05.036.008</w:t>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sz w:val="16"/>
                <w:szCs w:val="16"/>
              </w:rPr>
              <w:t>Определение концентрации этанола в крови методом газовой хроматографии</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906,00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25</w:t>
            </w:r>
          </w:p>
        </w:tc>
        <w:tc>
          <w:tcPr>
            <w:tcW w:w="1286" w:type="dxa"/>
            <w:vMerge w:val="restart"/>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А09.05.211</w:t>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sz w:val="16"/>
                <w:szCs w:val="16"/>
              </w:rPr>
              <w:t>Определение психоактивных веществ в крови (методом ГХ- МС)</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5 262,00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26</w:t>
            </w:r>
          </w:p>
        </w:tc>
        <w:tc>
          <w:tcPr>
            <w:tcW w:w="1286" w:type="dxa"/>
            <w:vMerge w:val="continue"/>
            <w:tcBorders>
              <w:start w:val="single" w:sz="2" w:space="0" w:color="000000"/>
              <w:bottom w:val="single" w:sz="2" w:space="0" w:color="000000"/>
            </w:tcBorders>
          </w:tcPr>
          <w:p>
            <w:pPr>
              <w:pStyle w:val="user3"/>
              <w:snapToGrid w:val="false"/>
              <w:ind w:end="0"/>
              <w:jc w:val="center"/>
              <w:rPr>
                <w:rFonts w:ascii="Arial" w:hAnsi="Arial" w:cs="Times New Roman"/>
                <w:sz w:val="16"/>
                <w:szCs w:val="16"/>
              </w:rPr>
            </w:pPr>
            <w:r>
              <w:rPr>
                <w:rFonts w:cs="Times New Roman" w:ascii="Arial" w:hAnsi="Arial"/>
                <w:sz w:val="16"/>
                <w:szCs w:val="16"/>
              </w:rPr>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sz w:val="16"/>
                <w:szCs w:val="16"/>
              </w:rPr>
              <w:t>Определение психоактивных веществ в крови</w:t>
            </w:r>
            <w:r>
              <w:rPr>
                <w:rFonts w:eastAsia="Times New Roman" w:cs="Times New Roman" w:ascii="Arial" w:hAnsi="Arial"/>
                <w:sz w:val="16"/>
                <w:szCs w:val="16"/>
              </w:rPr>
              <w:t xml:space="preserve"> </w:t>
            </w:r>
            <w:r>
              <w:rPr>
                <w:rFonts w:cs="Times New Roman" w:ascii="Arial" w:hAnsi="Arial"/>
                <w:sz w:val="16"/>
                <w:szCs w:val="16"/>
              </w:rPr>
              <w:t>(методом ВЭЖХ-МС)</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5 281,00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r>
        <w:trPr>
          <w:trHeight w:val="312" w:hRule="atLeast"/>
        </w:trPr>
        <w:tc>
          <w:tcPr>
            <w:tcW w:w="477"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27</w:t>
            </w:r>
          </w:p>
        </w:tc>
        <w:tc>
          <w:tcPr>
            <w:tcW w:w="1286" w:type="dxa"/>
            <w:tcBorders>
              <w:start w:val="single" w:sz="2" w:space="0" w:color="000000"/>
              <w:bottom w:val="single" w:sz="2" w:space="0" w:color="000000"/>
            </w:tcBorders>
          </w:tcPr>
          <w:p>
            <w:pPr>
              <w:pStyle w:val="user3"/>
              <w:ind w:end="0"/>
              <w:jc w:val="center"/>
              <w:rPr>
                <w:rFonts w:ascii="Arial" w:hAnsi="Arial"/>
                <w:sz w:val="16"/>
                <w:szCs w:val="16"/>
              </w:rPr>
            </w:pPr>
            <w:r>
              <w:rPr>
                <w:rFonts w:cs="Times New Roman" w:ascii="Arial" w:hAnsi="Arial"/>
                <w:sz w:val="16"/>
                <w:szCs w:val="16"/>
              </w:rPr>
              <w:t>А09.05.229</w:t>
            </w:r>
          </w:p>
        </w:tc>
        <w:tc>
          <w:tcPr>
            <w:tcW w:w="6993" w:type="dxa"/>
            <w:tcBorders>
              <w:start w:val="single" w:sz="2" w:space="0" w:color="000000"/>
              <w:bottom w:val="single" w:sz="2" w:space="0" w:color="000000"/>
            </w:tcBorders>
          </w:tcPr>
          <w:p>
            <w:pPr>
              <w:pStyle w:val="user3"/>
              <w:jc w:val="start"/>
              <w:rPr>
                <w:rFonts w:ascii="Arial" w:hAnsi="Arial"/>
                <w:sz w:val="16"/>
                <w:szCs w:val="16"/>
              </w:rPr>
            </w:pPr>
            <w:r>
              <w:rPr>
                <w:rFonts w:cs="Times New Roman" w:ascii="Arial" w:hAnsi="Arial"/>
                <w:sz w:val="16"/>
                <w:szCs w:val="16"/>
              </w:rPr>
              <w:t>Качественное и количественное определение карбогидрат-дефицитного трансферрина (CDT) в сыворотке крови методом капиллярного электрофореза</w:t>
            </w:r>
          </w:p>
        </w:tc>
        <w:tc>
          <w:tcPr>
            <w:tcW w:w="681" w:type="dxa"/>
            <w:tcBorders>
              <w:start w:val="single" w:sz="2" w:space="0" w:color="000000"/>
              <w:bottom w:val="single" w:sz="2" w:space="0" w:color="000000"/>
            </w:tcBorders>
          </w:tcPr>
          <w:p>
            <w:pPr>
              <w:pStyle w:val="user3"/>
              <w:jc w:val="center"/>
              <w:rPr>
                <w:rFonts w:ascii="Arial" w:hAnsi="Arial"/>
                <w:sz w:val="16"/>
                <w:szCs w:val="16"/>
              </w:rPr>
            </w:pPr>
            <w:r>
              <w:rPr>
                <w:rFonts w:ascii="Arial" w:hAnsi="Arial"/>
                <w:sz w:val="16"/>
                <w:szCs w:val="16"/>
              </w:rPr>
              <w:t>4 330,00</w:t>
            </w:r>
          </w:p>
        </w:tc>
        <w:tc>
          <w:tcPr>
            <w:tcW w:w="514" w:type="dxa"/>
            <w:tcBorders>
              <w:start w:val="single" w:sz="2" w:space="0" w:color="000000"/>
              <w:bottom w:val="single" w:sz="2" w:space="0" w:color="000000"/>
            </w:tcBorders>
          </w:tcPr>
          <w:p>
            <w:pPr>
              <w:pStyle w:val="user3"/>
              <w:snapToGrid w:val="false"/>
              <w:jc w:val="both"/>
              <w:rPr>
                <w:rFonts w:ascii="Arial" w:hAnsi="Arial"/>
                <w:sz w:val="16"/>
                <w:szCs w:val="16"/>
              </w:rPr>
            </w:pPr>
            <w:r>
              <w:rPr>
                <w:rFonts w:ascii="Arial" w:hAnsi="Arial"/>
                <w:sz w:val="16"/>
                <w:szCs w:val="16"/>
              </w:rPr>
            </w:r>
          </w:p>
        </w:tc>
        <w:tc>
          <w:tcPr>
            <w:tcW w:w="563" w:type="dxa"/>
            <w:tcBorders>
              <w:start w:val="single" w:sz="2" w:space="0" w:color="000000"/>
              <w:bottom w:val="single" w:sz="2" w:space="0" w:color="000000"/>
              <w:end w:val="single" w:sz="2" w:space="0" w:color="000000"/>
            </w:tcBorders>
          </w:tcPr>
          <w:p>
            <w:pPr>
              <w:pStyle w:val="user3"/>
              <w:snapToGrid w:val="false"/>
              <w:jc w:val="both"/>
              <w:rPr>
                <w:rFonts w:ascii="Arial" w:hAnsi="Arial"/>
                <w:sz w:val="16"/>
                <w:szCs w:val="16"/>
              </w:rPr>
            </w:pPr>
            <w:r>
              <w:rPr>
                <w:rFonts w:ascii="Arial" w:hAnsi="Arial"/>
                <w:sz w:val="16"/>
                <w:szCs w:val="16"/>
              </w:rPr>
            </w:r>
          </w:p>
        </w:tc>
      </w:tr>
    </w:tbl>
    <w:p>
      <w:pPr>
        <w:pStyle w:val="Normal"/>
        <w:jc w:val="center"/>
        <w:rPr>
          <w:rFonts w:ascii="Arial" w:hAnsi="Arial" w:cs="Arial"/>
          <w:color w:val="000000"/>
          <w:sz w:val="17"/>
          <w:szCs w:val="17"/>
        </w:rPr>
      </w:pPr>
      <w:r>
        <w:rPr>
          <w:rFonts w:cs="Arial" w:ascii="Arial" w:hAnsi="Arial"/>
          <w:color w:val="000000"/>
          <w:sz w:val="17"/>
          <w:szCs w:val="17"/>
        </w:rPr>
      </w:r>
    </w:p>
    <w:p>
      <w:pPr>
        <w:pStyle w:val="Normal"/>
        <w:rPr>
          <w:rFonts w:ascii="Arial" w:hAnsi="Arial" w:cs="Arial"/>
          <w:color w:val="000000"/>
          <w:sz w:val="17"/>
          <w:szCs w:val="17"/>
        </w:rPr>
      </w:pPr>
      <w:r>
        <w:rPr>
          <w:rFonts w:cs="Arial" w:ascii="Arial" w:hAnsi="Arial"/>
          <w:color w:val="000000"/>
          <w:sz w:val="17"/>
          <w:szCs w:val="17"/>
        </w:rPr>
      </w:r>
    </w:p>
    <w:p>
      <w:pPr>
        <w:pStyle w:val="Normal"/>
        <w:rPr>
          <w:sz w:val="16"/>
          <w:szCs w:val="16"/>
        </w:rPr>
      </w:pPr>
      <w:r>
        <w:rPr>
          <w:sz w:val="16"/>
          <w:szCs w:val="16"/>
        </w:rPr>
      </w:r>
    </w:p>
    <w:tbl>
      <w:tblPr>
        <w:tblStyle w:val="afa"/>
        <w:tblW w:w="10684" w:type="dxa"/>
        <w:jc w:val="center"/>
        <w:tblInd w:w="0" w:type="dxa"/>
        <w:tblLayout w:type="fixed"/>
        <w:tblCellMar>
          <w:top w:w="0" w:type="dxa"/>
          <w:start w:w="108" w:type="dxa"/>
          <w:bottom w:w="0" w:type="dxa"/>
          <w:end w:w="108" w:type="dxa"/>
        </w:tblCellMar>
        <w:tblLook w:val="04a0" w:noHBand="0" w:noVBand="1" w:firstColumn="1" w:lastRow="0" w:lastColumn="0" w:firstRow="1"/>
      </w:tblPr>
      <w:tblGrid>
        <w:gridCol w:w="2207"/>
        <w:gridCol w:w="1080"/>
        <w:gridCol w:w="2206"/>
        <w:gridCol w:w="2324"/>
        <w:gridCol w:w="2867"/>
      </w:tblGrid>
      <w:tr>
        <w:trPr/>
        <w:tc>
          <w:tcPr>
            <w:tcW w:w="2207" w:type="dxa"/>
            <w:tcBorders>
              <w:top w:val="nil"/>
              <w:start w:val="nil"/>
              <w:bottom w:val="nil"/>
              <w:end w:val="nil"/>
            </w:tcBorders>
          </w:tcPr>
          <w:p>
            <w:pPr>
              <w:pStyle w:val="Normal"/>
              <w:widowControl/>
              <w:suppressAutoHyphens w:val="true"/>
              <w:spacing w:before="0" w:after="0"/>
              <w:jc w:val="start"/>
              <w:rPr>
                <w:rFonts w:ascii="Times New Roman" w:hAnsi="Times New Roman" w:cs="Times New Roman"/>
                <w:kern w:val="0"/>
                <w:lang w:val="ru-RU" w:eastAsia="ru-RU" w:bidi="ar-SA"/>
              </w:rPr>
            </w:pPr>
            <w:r>
              <w:rPr>
                <w:rFonts w:eastAsia="Times New Roman" w:cs="Arial" w:ascii="Arial" w:hAnsi="Arial"/>
                <w:kern w:val="0"/>
                <w:sz w:val="17"/>
                <w:szCs w:val="17"/>
                <w:lang w:val="ru-RU" w:eastAsia="ru-RU" w:bidi="ar-SA"/>
              </w:rPr>
              <w:t>Исполнитель:</w:t>
            </w:r>
          </w:p>
        </w:tc>
        <w:tc>
          <w:tcPr>
            <w:tcW w:w="1080" w:type="dxa"/>
            <w:tcBorders>
              <w:top w:val="nil"/>
              <w:start w:val="nil"/>
              <w:bottom w:val="nil"/>
              <w:end w:val="nil"/>
            </w:tcBorders>
          </w:tcPr>
          <w:p>
            <w:pPr>
              <w:pStyle w:val="Normal"/>
              <w:widowControl/>
              <w:suppressAutoHyphens w:val="true"/>
              <w:spacing w:before="0" w:after="0"/>
              <w:jc w:val="start"/>
              <w:rPr>
                <w:rFonts w:ascii="Arial" w:hAnsi="Arial" w:eastAsia="Times New Roman" w:cs="Arial"/>
                <w:color w:val="000000"/>
                <w:sz w:val="17"/>
                <w:szCs w:val="17"/>
              </w:rPr>
            </w:pPr>
            <w:r>
              <w:rPr>
                <w:rFonts w:eastAsia="Times New Roman" w:cs="Arial" w:ascii="Arial" w:hAnsi="Arial"/>
                <w:color w:val="000000"/>
                <w:sz w:val="17"/>
                <w:szCs w:val="17"/>
              </w:rPr>
            </w:r>
          </w:p>
        </w:tc>
        <w:tc>
          <w:tcPr>
            <w:tcW w:w="2206" w:type="dxa"/>
            <w:tcBorders>
              <w:top w:val="nil"/>
              <w:start w:val="nil"/>
              <w:bottom w:val="nil"/>
              <w:end w:val="nil"/>
            </w:tcBorders>
          </w:tcPr>
          <w:p>
            <w:pPr>
              <w:pStyle w:val="Normal"/>
              <w:widowControl/>
              <w:suppressAutoHyphens w:val="true"/>
              <w:spacing w:before="0" w:after="0"/>
              <w:jc w:val="start"/>
              <w:rPr>
                <w:rFonts w:ascii="Times New Roman" w:hAnsi="Times New Roman" w:cs="Times New Roman"/>
                <w:kern w:val="0"/>
                <w:lang w:val="ru-RU" w:eastAsia="ru-RU" w:bidi="ar-SA"/>
              </w:rPr>
            </w:pPr>
            <w:r>
              <w:rPr>
                <w:rFonts w:eastAsia="Times New Roman" w:cs="Arial" w:ascii="Arial" w:hAnsi="Arial"/>
                <w:color w:val="000000"/>
                <w:kern w:val="0"/>
                <w:sz w:val="17"/>
                <w:szCs w:val="17"/>
                <w:lang w:val="ru-RU" w:eastAsia="ru-RU" w:bidi="ar-SA"/>
              </w:rPr>
              <w:t>Заказчик:</w:t>
            </w:r>
          </w:p>
          <w:p>
            <w:pPr>
              <w:pStyle w:val="Normal"/>
              <w:widowControl/>
              <w:suppressAutoHyphens w:val="true"/>
              <w:spacing w:before="0" w:after="0"/>
              <w:jc w:val="start"/>
              <w:rPr>
                <w:rFonts w:ascii="Arial" w:hAnsi="Arial" w:eastAsia="Times New Roman" w:cs="Arial"/>
                <w:color w:val="000000"/>
                <w:sz w:val="17"/>
                <w:szCs w:val="17"/>
              </w:rPr>
            </w:pPr>
            <w:r>
              <w:rPr>
                <w:rFonts w:eastAsia="Times New Roman" w:cs="Arial" w:ascii="Arial" w:hAnsi="Arial"/>
                <w:color w:val="000000"/>
                <w:sz w:val="17"/>
                <w:szCs w:val="17"/>
              </w:rPr>
            </w:r>
          </w:p>
        </w:tc>
        <w:tc>
          <w:tcPr>
            <w:tcW w:w="2324" w:type="dxa"/>
            <w:tcBorders>
              <w:top w:val="nil"/>
              <w:start w:val="nil"/>
              <w:bottom w:val="nil"/>
              <w:end w:val="nil"/>
            </w:tcBorders>
          </w:tcPr>
          <w:p>
            <w:pPr>
              <w:pStyle w:val="Normal"/>
              <w:widowControl/>
              <w:suppressAutoHyphens w:val="true"/>
              <w:spacing w:before="0" w:after="0"/>
              <w:jc w:val="start"/>
              <w:rPr>
                <w:rFonts w:ascii="Arial" w:hAnsi="Arial" w:eastAsia="Times New Roman" w:cs="Arial"/>
                <w:color w:val="000000"/>
                <w:sz w:val="17"/>
                <w:szCs w:val="17"/>
              </w:rPr>
            </w:pPr>
            <w:r>
              <w:rPr>
                <w:rFonts w:eastAsia="Times New Roman" w:cs="Arial" w:ascii="Arial" w:hAnsi="Arial"/>
                <w:color w:val="000000"/>
                <w:sz w:val="17"/>
                <w:szCs w:val="17"/>
              </w:rPr>
            </w:r>
          </w:p>
        </w:tc>
        <w:tc>
          <w:tcPr>
            <w:tcW w:w="2867" w:type="dxa"/>
            <w:tcBorders>
              <w:top w:val="nil"/>
              <w:start w:val="nil"/>
              <w:bottom w:val="nil"/>
              <w:end w:val="nil"/>
            </w:tcBorders>
          </w:tcPr>
          <w:p>
            <w:pPr>
              <w:pStyle w:val="Normal"/>
              <w:widowControl/>
              <w:suppressAutoHyphens w:val="true"/>
              <w:spacing w:before="0" w:after="0"/>
              <w:jc w:val="start"/>
              <w:rPr>
                <w:rFonts w:ascii="Times New Roman" w:hAnsi="Times New Roman" w:cs="Times New Roman"/>
                <w:kern w:val="0"/>
                <w:lang w:val="ru-RU" w:eastAsia="ru-RU" w:bidi="ar-SA"/>
              </w:rPr>
            </w:pPr>
            <w:r>
              <w:rPr>
                <w:rFonts w:eastAsia="Times New Roman" w:cs="Arial" w:ascii="Arial" w:hAnsi="Arial"/>
                <w:color w:val="000000"/>
                <w:kern w:val="0"/>
                <w:sz w:val="17"/>
                <w:szCs w:val="17"/>
                <w:lang w:val="ru-RU" w:eastAsia="ru-RU" w:bidi="ar-SA"/>
              </w:rPr>
              <w:t>Потребитель/законный представитель Потребителя:</w:t>
            </w:r>
          </w:p>
        </w:tc>
      </w:tr>
      <w:tr>
        <w:trPr/>
        <w:tc>
          <w:tcPr>
            <w:tcW w:w="2207" w:type="dxa"/>
            <w:tcBorders>
              <w:top w:val="nil"/>
              <w:start w:val="nil"/>
              <w:bottom w:val="nil"/>
              <w:end w:val="nil"/>
            </w:tcBorders>
          </w:tcPr>
          <w:p>
            <w:pPr>
              <w:pStyle w:val="Normal"/>
              <w:widowControl/>
              <w:suppressAutoHyphens w:val="true"/>
              <w:spacing w:before="0" w:after="0"/>
              <w:jc w:val="start"/>
              <w:rPr>
                <w:rFonts w:ascii="Arial" w:hAnsi="Arial" w:eastAsia="Times New Roman" w:cs="Arial"/>
                <w:sz w:val="17"/>
                <w:szCs w:val="17"/>
              </w:rPr>
            </w:pPr>
            <w:r>
              <w:rPr>
                <w:rFonts w:eastAsia="Times New Roman" w:cs="Arial" w:ascii="Arial" w:hAnsi="Arial"/>
                <w:kern w:val="0"/>
                <w:sz w:val="17"/>
                <w:szCs w:val="17"/>
                <w:lang w:val="ru-RU" w:eastAsia="ru-RU" w:bidi="ar-SA"/>
              </w:rPr>
              <w:t xml:space="preserve">И.о. главного врача Георгиевская О.В. </w:t>
            </w:r>
            <w:r>
              <w:rPr>
                <w:rFonts w:cs="Times New Roman"/>
                <w:kern w:val="0"/>
                <w:lang w:val="ru-RU" w:eastAsia="ru-RU" w:bidi="ar-SA"/>
              </w:rPr>
              <w:t>_____________</w:t>
            </w:r>
          </w:p>
        </w:tc>
        <w:tc>
          <w:tcPr>
            <w:tcW w:w="1080" w:type="dxa"/>
            <w:tcBorders>
              <w:top w:val="nil"/>
              <w:start w:val="nil"/>
              <w:bottom w:val="nil"/>
              <w:end w:val="nil"/>
            </w:tcBorders>
          </w:tcPr>
          <w:p>
            <w:pPr>
              <w:pStyle w:val="Normal"/>
              <w:widowControl/>
              <w:suppressAutoHyphens w:val="true"/>
              <w:spacing w:before="0" w:after="0"/>
              <w:jc w:val="start"/>
              <w:rPr>
                <w:rFonts w:ascii="Arial" w:hAnsi="Arial" w:eastAsia="Times New Roman" w:cs="Arial"/>
                <w:color w:val="000000"/>
                <w:sz w:val="17"/>
                <w:szCs w:val="17"/>
              </w:rPr>
            </w:pPr>
            <w:r>
              <w:rPr>
                <w:rFonts w:eastAsia="Times New Roman" w:cs="Arial" w:ascii="Arial" w:hAnsi="Arial"/>
                <w:color w:val="000000"/>
                <w:sz w:val="17"/>
                <w:szCs w:val="17"/>
              </w:rPr>
            </w:r>
          </w:p>
        </w:tc>
        <w:tc>
          <w:tcPr>
            <w:tcW w:w="2206" w:type="dxa"/>
            <w:tcBorders>
              <w:top w:val="nil"/>
              <w:start w:val="nil"/>
              <w:bottom w:val="nil"/>
              <w:end w:val="nil"/>
            </w:tcBorders>
          </w:tcPr>
          <w:p>
            <w:pPr>
              <w:pStyle w:val="Normal"/>
              <w:widowControl/>
              <w:suppressAutoHyphens w:val="true"/>
              <w:spacing w:before="0" w:after="0"/>
              <w:jc w:val="start"/>
              <w:rPr>
                <w:rFonts w:ascii="Arial" w:hAnsi="Arial"/>
                <w:sz w:val="17"/>
                <w:szCs w:val="17"/>
              </w:rPr>
            </w:pPr>
            <w:r>
              <w:rPr>
                <w:rFonts w:cs="Times New Roman" w:ascii="Arial" w:hAnsi="Arial"/>
                <w:kern w:val="0"/>
                <w:sz w:val="17"/>
                <w:szCs w:val="17"/>
                <w:lang w:val="ru-RU" w:eastAsia="ru-RU" w:bidi="ar-SA"/>
              </w:rPr>
              <w:t>__________________</w:t>
            </w:r>
          </w:p>
          <w:p>
            <w:pPr>
              <w:pStyle w:val="Normal"/>
              <w:widowControl/>
              <w:suppressAutoHyphens w:val="true"/>
              <w:spacing w:before="0" w:after="0"/>
              <w:jc w:val="start"/>
              <w:rPr>
                <w:rFonts w:ascii="Arial" w:hAnsi="Arial"/>
                <w:sz w:val="17"/>
                <w:szCs w:val="17"/>
              </w:rPr>
            </w:pPr>
            <w:r>
              <w:rPr>
                <w:rFonts w:ascii="Arial" w:hAnsi="Arial"/>
                <w:sz w:val="17"/>
                <w:szCs w:val="17"/>
              </w:rPr>
            </w:r>
          </w:p>
          <w:p>
            <w:pPr>
              <w:pStyle w:val="Normal"/>
              <w:widowControl/>
              <w:suppressAutoHyphens w:val="true"/>
              <w:spacing w:before="0" w:after="0"/>
              <w:jc w:val="start"/>
              <w:rPr>
                <w:rFonts w:ascii="Arial" w:hAnsi="Arial"/>
                <w:sz w:val="17"/>
                <w:szCs w:val="17"/>
              </w:rPr>
            </w:pPr>
            <w:r>
              <w:rPr>
                <w:rFonts w:cs="Times New Roman" w:ascii="Arial" w:hAnsi="Arial"/>
                <w:kern w:val="0"/>
                <w:sz w:val="17"/>
                <w:szCs w:val="17"/>
                <w:lang w:val="ru-RU" w:eastAsia="ru-RU" w:bidi="ar-SA"/>
              </w:rPr>
              <w:t>/_________________/</w:t>
            </w:r>
          </w:p>
        </w:tc>
        <w:tc>
          <w:tcPr>
            <w:tcW w:w="2324" w:type="dxa"/>
            <w:tcBorders>
              <w:top w:val="nil"/>
              <w:start w:val="nil"/>
              <w:bottom w:val="nil"/>
              <w:end w:val="nil"/>
            </w:tcBorders>
          </w:tcPr>
          <w:p>
            <w:pPr>
              <w:pStyle w:val="Normal"/>
              <w:widowControl/>
              <w:suppressAutoHyphens w:val="true"/>
              <w:spacing w:before="0" w:after="0"/>
              <w:jc w:val="start"/>
              <w:rPr>
                <w:rFonts w:ascii="Arial" w:hAnsi="Arial" w:eastAsia="Times New Roman" w:cs="Arial"/>
                <w:color w:val="000000"/>
                <w:sz w:val="17"/>
                <w:szCs w:val="17"/>
              </w:rPr>
            </w:pPr>
            <w:r>
              <w:rPr>
                <w:rFonts w:eastAsia="Times New Roman" w:cs="Arial" w:ascii="Arial" w:hAnsi="Arial"/>
                <w:color w:val="000000"/>
                <w:sz w:val="17"/>
                <w:szCs w:val="17"/>
              </w:rPr>
            </w:r>
          </w:p>
        </w:tc>
        <w:tc>
          <w:tcPr>
            <w:tcW w:w="2867" w:type="dxa"/>
            <w:tcBorders>
              <w:top w:val="nil"/>
              <w:start w:val="nil"/>
              <w:bottom w:val="nil"/>
              <w:end w:val="nil"/>
            </w:tcBorders>
          </w:tcPr>
          <w:p>
            <w:pPr>
              <w:pStyle w:val="Normal"/>
              <w:widowControl/>
              <w:suppressAutoHyphens w:val="true"/>
              <w:spacing w:before="0" w:after="0"/>
              <w:jc w:val="start"/>
              <w:rPr>
                <w:rFonts w:ascii="Arial" w:hAnsi="Arial"/>
                <w:sz w:val="17"/>
                <w:szCs w:val="17"/>
              </w:rPr>
            </w:pPr>
            <w:r>
              <w:rPr>
                <w:rFonts w:cs="Times New Roman" w:ascii="Arial" w:hAnsi="Arial"/>
                <w:kern w:val="0"/>
                <w:sz w:val="17"/>
                <w:szCs w:val="17"/>
                <w:lang w:val="ru-RU" w:eastAsia="ru-RU" w:bidi="ar-SA"/>
              </w:rPr>
              <w:t>__________________</w:t>
            </w:r>
          </w:p>
          <w:p>
            <w:pPr>
              <w:pStyle w:val="Normal"/>
              <w:widowControl/>
              <w:suppressAutoHyphens w:val="true"/>
              <w:spacing w:before="0" w:after="0"/>
              <w:jc w:val="start"/>
              <w:rPr>
                <w:rFonts w:ascii="Arial" w:hAnsi="Arial"/>
                <w:sz w:val="17"/>
                <w:szCs w:val="17"/>
              </w:rPr>
            </w:pPr>
            <w:r>
              <w:rPr>
                <w:rFonts w:ascii="Arial" w:hAnsi="Arial"/>
                <w:sz w:val="17"/>
                <w:szCs w:val="17"/>
              </w:rPr>
            </w:r>
          </w:p>
          <w:p>
            <w:pPr>
              <w:pStyle w:val="Normal"/>
              <w:widowControl/>
              <w:suppressAutoHyphens w:val="true"/>
              <w:spacing w:before="0" w:after="0"/>
              <w:jc w:val="start"/>
              <w:rPr>
                <w:rFonts w:ascii="Arial" w:hAnsi="Arial"/>
                <w:sz w:val="17"/>
                <w:szCs w:val="17"/>
              </w:rPr>
            </w:pPr>
            <w:r>
              <w:rPr>
                <w:rFonts w:cs="Times New Roman" w:ascii="Arial" w:hAnsi="Arial"/>
                <w:kern w:val="0"/>
                <w:sz w:val="17"/>
                <w:szCs w:val="17"/>
                <w:lang w:val="ru-RU" w:eastAsia="ru-RU" w:bidi="ar-SA"/>
              </w:rPr>
              <w:t>/_________________/</w:t>
            </w:r>
          </w:p>
        </w:tc>
      </w:tr>
    </w:tbl>
    <w:p>
      <w:pPr>
        <w:pStyle w:val="Normal"/>
        <w:rPr>
          <w:sz w:val="16"/>
          <w:szCs w:val="16"/>
        </w:rPr>
      </w:pPr>
      <w:r>
        <w:rPr>
          <w:sz w:val="16"/>
          <w:szCs w:val="16"/>
        </w:rPr>
      </w:r>
    </w:p>
    <w:p>
      <w:pPr>
        <w:pStyle w:val="Normal"/>
        <w:rPr>
          <w:sz w:val="16"/>
          <w:szCs w:val="16"/>
        </w:rPr>
      </w:pPr>
      <w:r>
        <w:rPr>
          <w:sz w:val="16"/>
          <w:szCs w:val="16"/>
        </w:rPr>
      </w:r>
    </w:p>
    <w:p>
      <w:pPr>
        <w:pStyle w:val="Normal"/>
        <w:rPr>
          <w:sz w:val="16"/>
          <w:szCs w:val="16"/>
        </w:rPr>
      </w:pPr>
      <w:r>
        <w:rPr>
          <w:sz w:val="16"/>
          <w:szCs w:val="16"/>
        </w:rPr>
      </w:r>
    </w:p>
    <w:p>
      <w:pPr>
        <w:pStyle w:val="Normal"/>
        <w:rPr>
          <w:sz w:val="16"/>
          <w:szCs w:val="16"/>
        </w:rPr>
      </w:pPr>
      <w:r>
        <w:rPr>
          <w:sz w:val="16"/>
          <w:szCs w:val="16"/>
        </w:rPr>
      </w:r>
    </w:p>
    <w:p>
      <w:pPr>
        <w:pStyle w:val="Normal"/>
        <w:rPr>
          <w:sz w:val="16"/>
          <w:szCs w:val="16"/>
        </w:rPr>
      </w:pPr>
      <w:r>
        <w:rPr>
          <w:sz w:val="16"/>
          <w:szCs w:val="16"/>
        </w:rPr>
      </w:r>
    </w:p>
    <w:p>
      <w:pPr>
        <w:pStyle w:val="Normal"/>
        <w:rPr>
          <w:sz w:val="16"/>
          <w:szCs w:val="16"/>
        </w:rPr>
      </w:pPr>
      <w:r>
        <w:rPr>
          <w:sz w:val="16"/>
          <w:szCs w:val="16"/>
        </w:rPr>
      </w:r>
    </w:p>
    <w:p>
      <w:pPr>
        <w:pStyle w:val="Normal"/>
        <w:rPr>
          <w:sz w:val="16"/>
          <w:szCs w:val="16"/>
        </w:rPr>
      </w:pPr>
      <w:r>
        <w:rPr>
          <w:sz w:val="16"/>
          <w:szCs w:val="16"/>
        </w:rPr>
        <w:t xml:space="preserve">                                                                                                                                                                                        </w:t>
      </w:r>
    </w:p>
    <w:sectPr>
      <w:type w:val="nextPage"/>
      <w:pgSz w:w="11906" w:h="16838"/>
      <w:pgMar w:left="851" w:right="567" w:gutter="0" w:header="0" w:top="284" w:footer="0" w:bottom="425"/>
      <w:pgNumType w:fmt="decimal"/>
      <w:formProt w:val="false"/>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Times New Roman">
    <w:charset w:val="01"/>
    <w:family w:val="roman"/>
    <w:pitch w:val="default"/>
  </w:font>
  <w:font w:name="Segoe UI">
    <w:charset w:val="01"/>
    <w:family w:val="swiss"/>
    <w:pitch w:val="default"/>
  </w:font>
  <w:font w:name="PT Astra Serif">
    <w:charset w:val="01"/>
    <w:family w:val="roman"/>
    <w:pitch w:val="default"/>
  </w:font>
  <w:font w:name="Arial">
    <w:charset w:val="01"/>
    <w:family w:val="swiss"/>
    <w:pitch w:val="default"/>
  </w:font>
</w:fonts>
</file>

<file path=word/settings.xml><?xml version="1.0" encoding="utf-8"?>
<w:settings xmlns:w="http://schemas.openxmlformats.org/wordprocessingml/2006/main">
  <w:zoom w:percent="120"/>
  <w:defaultTabStop w:val="708"/>
  <w:autoHyphenation w:val="true"/>
  <w:hyphenationZone w:val="0"/>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Times New Roman" w:hAnsi="Times New Roman" w:eastAsia="Times New Roman" w:cs="Times New Roman"/>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d33ea4"/>
    <w:pPr>
      <w:widowControl/>
      <w:suppressAutoHyphens w:val="true"/>
      <w:bidi w:val="0"/>
      <w:spacing w:before="0" w:after="0"/>
      <w:jc w:val="start"/>
    </w:pPr>
    <w:rPr>
      <w:rFonts w:ascii="Times New Roman" w:hAnsi="Times New Roman" w:eastAsia="" w:cs="Times New Roman" w:eastAsiaTheme="minorEastAsia"/>
      <w:color w:val="auto"/>
      <w:kern w:val="0"/>
      <w:sz w:val="24"/>
      <w:szCs w:val="24"/>
      <w:lang w:val="ru-RU" w:eastAsia="ru-RU" w:bidi="ar-SA"/>
    </w:rPr>
  </w:style>
  <w:style w:type="character" w:styleId="DefaultParagraphFont" w:default="1">
    <w:name w:val="Default Paragraph Font"/>
    <w:uiPriority w:val="1"/>
    <w:semiHidden/>
    <w:unhideWhenUsed/>
    <w:qFormat/>
    <w:rPr/>
  </w:style>
  <w:style w:type="character" w:styleId="Strong">
    <w:name w:val="Strong"/>
    <w:basedOn w:val="DefaultParagraphFont"/>
    <w:uiPriority w:val="22"/>
    <w:qFormat/>
    <w:rPr>
      <w:b/>
      <w:bCs/>
    </w:rPr>
  </w:style>
  <w:style w:type="character" w:styleId="admin" w:customStyle="1">
    <w:name w:val="admin"/>
    <w:basedOn w:val="DefaultParagraphFont"/>
    <w:qFormat/>
    <w:rPr/>
  </w:style>
  <w:style w:type="character" w:styleId="copy" w:customStyle="1">
    <w:name w:val="copy"/>
    <w:basedOn w:val="DefaultParagraphFont"/>
    <w:qFormat/>
    <w:rPr/>
  </w:style>
  <w:style w:type="character" w:styleId="head" w:customStyle="1">
    <w:name w:val="head"/>
    <w:basedOn w:val="DefaultParagraphFont"/>
    <w:qFormat/>
    <w:rPr/>
  </w:style>
  <w:style w:type="character" w:styleId="Style14" w:customStyle="1">
    <w:name w:val="Текст выноски Знак"/>
    <w:basedOn w:val="DefaultParagraphFont"/>
    <w:link w:val="BalloonText"/>
    <w:uiPriority w:val="99"/>
    <w:semiHidden/>
    <w:qFormat/>
    <w:rsid w:val="00672ca7"/>
    <w:rPr>
      <w:rFonts w:ascii="Segoe UI" w:hAnsi="Segoe UI" w:eastAsia="" w:cs="Segoe UI" w:eastAsiaTheme="minorEastAsia"/>
      <w:sz w:val="18"/>
      <w:szCs w:val="18"/>
    </w:rPr>
  </w:style>
  <w:style w:type="character" w:styleId="Hyperlink">
    <w:name w:val="Hyperlink"/>
    <w:basedOn w:val="DefaultParagraphFont"/>
    <w:uiPriority w:val="99"/>
    <w:unhideWhenUsed/>
    <w:rsid w:val="00670a0d"/>
    <w:rPr>
      <w:color w:themeColor="hyperlink" w:val="0563C1"/>
      <w:u w:val="single"/>
    </w:rPr>
  </w:style>
  <w:style w:type="character" w:styleId="UnresolvedMention" w:customStyle="1">
    <w:name w:val="Unresolved Mention"/>
    <w:basedOn w:val="DefaultParagraphFont"/>
    <w:uiPriority w:val="99"/>
    <w:semiHidden/>
    <w:unhideWhenUsed/>
    <w:qFormat/>
    <w:rsid w:val="00670a0d"/>
    <w:rPr>
      <w:color w:val="605E5C"/>
      <w:shd w:fill="E1DFDD" w:val="clear"/>
    </w:rPr>
  </w:style>
  <w:style w:type="character" w:styleId="CommentReference">
    <w:name w:val="annotation reference"/>
    <w:basedOn w:val="DefaultParagraphFont"/>
    <w:uiPriority w:val="99"/>
    <w:semiHidden/>
    <w:unhideWhenUsed/>
    <w:qFormat/>
    <w:rsid w:val="00aa08b4"/>
    <w:rPr>
      <w:sz w:val="16"/>
      <w:szCs w:val="16"/>
    </w:rPr>
  </w:style>
  <w:style w:type="character" w:styleId="Style15" w:customStyle="1">
    <w:name w:val="Текст примечания Знак"/>
    <w:basedOn w:val="DefaultParagraphFont"/>
    <w:uiPriority w:val="99"/>
    <w:semiHidden/>
    <w:qFormat/>
    <w:rsid w:val="00aa08b4"/>
    <w:rPr>
      <w:rFonts w:eastAsia="" w:eastAsiaTheme="minorEastAsia"/>
    </w:rPr>
  </w:style>
  <w:style w:type="character" w:styleId="Style16" w:customStyle="1">
    <w:name w:val="Тема примечания Знак"/>
    <w:basedOn w:val="Style15"/>
    <w:link w:val="annotationsubject"/>
    <w:uiPriority w:val="99"/>
    <w:semiHidden/>
    <w:qFormat/>
    <w:rsid w:val="00aa08b4"/>
    <w:rPr>
      <w:rFonts w:eastAsia="" w:eastAsiaTheme="minorEastAsia"/>
      <w:b/>
      <w:bCs/>
    </w:rPr>
  </w:style>
  <w:style w:type="character" w:styleId="FollowedHyperlink">
    <w:name w:val="FollowedHyperlink"/>
    <w:basedOn w:val="DefaultParagraphFont"/>
    <w:uiPriority w:val="99"/>
    <w:semiHidden/>
    <w:unhideWhenUsed/>
    <w:rsid w:val="00a77940"/>
    <w:rPr>
      <w:color w:themeColor="followedHyperlink" w:val="954F72"/>
      <w:u w:val="single"/>
    </w:rPr>
  </w:style>
  <w:style w:type="character" w:styleId="Style17" w:customStyle="1">
    <w:name w:val="Верхний колонтитул Знак"/>
    <w:basedOn w:val="DefaultParagraphFont"/>
    <w:uiPriority w:val="99"/>
    <w:qFormat/>
    <w:rsid w:val="001c75ab"/>
    <w:rPr>
      <w:rFonts w:eastAsia="" w:eastAsiaTheme="minorEastAsia"/>
      <w:sz w:val="24"/>
      <w:szCs w:val="24"/>
    </w:rPr>
  </w:style>
  <w:style w:type="character" w:styleId="Style18" w:customStyle="1">
    <w:name w:val="Нижний колонтитул Знак"/>
    <w:basedOn w:val="DefaultParagraphFont"/>
    <w:uiPriority w:val="99"/>
    <w:qFormat/>
    <w:rsid w:val="001c75ab"/>
    <w:rPr>
      <w:rFonts w:eastAsia="" w:eastAsiaTheme="minorEastAsia"/>
      <w:sz w:val="24"/>
      <w:szCs w:val="24"/>
    </w:rPr>
  </w:style>
  <w:style w:type="paragraph" w:styleId="Style19" w:customStyle="1">
    <w:name w:val="Заголовок"/>
    <w:basedOn w:val="Normal"/>
    <w:next w:val="BodyText"/>
    <w:qFormat/>
    <w:pPr>
      <w:keepNext w:val="true"/>
      <w:spacing w:before="240" w:after="120"/>
    </w:pPr>
    <w:rPr>
      <w:rFonts w:ascii="PT Astra Serif" w:hAnsi="PT Astra Serif" w:eastAsia="Noto Sans CJK SC" w:cs="Free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ascii="PT Astra Serif" w:hAnsi="PT Astra Serif" w:cs="FreeSans"/>
    </w:rPr>
  </w:style>
  <w:style w:type="paragraph" w:styleId="Caption">
    <w:name w:val="caption"/>
    <w:basedOn w:val="Normal"/>
    <w:qFormat/>
    <w:pPr>
      <w:suppressLineNumbers/>
      <w:spacing w:before="120" w:after="120"/>
    </w:pPr>
    <w:rPr>
      <w:rFonts w:ascii="PT Astra Serif" w:hAnsi="PT Astra Serif" w:cs="FreeSans"/>
      <w:i/>
      <w:iCs/>
    </w:rPr>
  </w:style>
  <w:style w:type="paragraph" w:styleId="Style20" w:customStyle="1">
    <w:name w:val="Указатель"/>
    <w:basedOn w:val="Normal"/>
    <w:qFormat/>
    <w:pPr>
      <w:suppressLineNumbers/>
    </w:pPr>
    <w:rPr>
      <w:rFonts w:ascii="PT Astra Serif" w:hAnsi="PT Astra Serif" w:cs="FreeSans"/>
    </w:rPr>
  </w:style>
  <w:style w:type="paragraph" w:styleId="user" w:customStyle="1">
    <w:name w:val="Заголовок (user)"/>
    <w:basedOn w:val="Normal"/>
    <w:next w:val="BodyText"/>
    <w:qFormat/>
    <w:pPr>
      <w:keepNext w:val="true"/>
      <w:spacing w:before="240" w:after="120"/>
    </w:pPr>
    <w:rPr>
      <w:rFonts w:ascii="PT Astra Serif" w:hAnsi="PT Astra Serif" w:eastAsia="Noto Sans CJK SC" w:cs="FreeSans"/>
      <w:sz w:val="28"/>
      <w:szCs w:val="28"/>
    </w:rPr>
  </w:style>
  <w:style w:type="paragraph" w:styleId="user1">
    <w:name w:val="Указатель (user)"/>
    <w:basedOn w:val="Normal"/>
    <w:qFormat/>
    <w:pPr>
      <w:suppressLineNumbers/>
    </w:pPr>
    <w:rPr>
      <w:rFonts w:ascii="PT Astra Serif" w:hAnsi="PT Astra Serif" w:cs="FreeSans"/>
    </w:rPr>
  </w:style>
  <w:style w:type="paragraph" w:styleId="IndexHeading">
    <w:name w:val="index heading"/>
    <w:basedOn w:val="Normal"/>
    <w:qFormat/>
    <w:pPr>
      <w:suppressLineNumbers/>
    </w:pPr>
    <w:rPr>
      <w:rFonts w:ascii="PT Astra Serif" w:hAnsi="PT Astra Serif" w:cs="FreeSans"/>
    </w:rPr>
  </w:style>
  <w:style w:type="paragraph" w:styleId="msonormal" w:customStyle="1">
    <w:name w:val="msonormal"/>
    <w:basedOn w:val="Normal"/>
    <w:qFormat/>
    <w:pPr>
      <w:spacing w:beforeAutospacing="1" w:afterAutospacing="1"/>
    </w:pPr>
    <w:rPr/>
  </w:style>
  <w:style w:type="paragraph" w:styleId="NormalWeb">
    <w:name w:val="Normal (Web)"/>
    <w:basedOn w:val="Normal"/>
    <w:uiPriority w:val="99"/>
    <w:unhideWhenUsed/>
    <w:qFormat/>
    <w:pPr>
      <w:spacing w:beforeAutospacing="1" w:afterAutospacing="1"/>
    </w:pPr>
    <w:rPr/>
  </w:style>
  <w:style w:type="paragraph" w:styleId="head1" w:customStyle="1">
    <w:name w:val="head1"/>
    <w:basedOn w:val="Normal"/>
    <w:qFormat/>
    <w:pPr>
      <w:spacing w:beforeAutospacing="1" w:afterAutospacing="1"/>
    </w:pPr>
    <w:rPr>
      <w:vanish/>
    </w:rPr>
  </w:style>
  <w:style w:type="paragraph" w:styleId="admin1" w:customStyle="1">
    <w:name w:val="admin1"/>
    <w:basedOn w:val="Normal"/>
    <w:qFormat/>
    <w:pPr>
      <w:spacing w:beforeAutospacing="1" w:afterAutospacing="1"/>
    </w:pPr>
    <w:rPr/>
  </w:style>
  <w:style w:type="paragraph" w:styleId="head2" w:customStyle="1">
    <w:name w:val="head2"/>
    <w:basedOn w:val="Normal"/>
    <w:qFormat/>
    <w:pPr>
      <w:spacing w:beforeAutospacing="1" w:afterAutospacing="1"/>
    </w:pPr>
    <w:rPr>
      <w:vanish/>
    </w:rPr>
  </w:style>
  <w:style w:type="paragraph" w:styleId="admin2" w:customStyle="1">
    <w:name w:val="admin2"/>
    <w:basedOn w:val="Normal"/>
    <w:qFormat/>
    <w:pPr>
      <w:spacing w:beforeAutospacing="1" w:afterAutospacing="1"/>
    </w:pPr>
    <w:rPr/>
  </w:style>
  <w:style w:type="paragraph" w:styleId="BalloonText">
    <w:name w:val="Balloon Text"/>
    <w:basedOn w:val="Normal"/>
    <w:link w:val="Style14"/>
    <w:uiPriority w:val="99"/>
    <w:semiHidden/>
    <w:unhideWhenUsed/>
    <w:qFormat/>
    <w:rsid w:val="00672ca7"/>
    <w:pPr/>
    <w:rPr>
      <w:rFonts w:ascii="Segoe UI" w:hAnsi="Segoe UI" w:cs="Segoe UI"/>
      <w:sz w:val="18"/>
      <w:szCs w:val="18"/>
    </w:rPr>
  </w:style>
  <w:style w:type="paragraph" w:styleId="CommentText">
    <w:name w:val="annotation text"/>
    <w:basedOn w:val="Normal"/>
    <w:link w:val="Style15"/>
    <w:uiPriority w:val="99"/>
    <w:semiHidden/>
    <w:unhideWhenUsed/>
    <w:rsid w:val="00aa08b4"/>
    <w:pPr/>
    <w:rPr>
      <w:sz w:val="20"/>
      <w:szCs w:val="20"/>
    </w:rPr>
  </w:style>
  <w:style w:type="paragraph" w:styleId="annotationsubject">
    <w:name w:val="annotation subject"/>
    <w:basedOn w:val="CommentText"/>
    <w:next w:val="CommentText"/>
    <w:link w:val="Style16"/>
    <w:uiPriority w:val="99"/>
    <w:semiHidden/>
    <w:unhideWhenUsed/>
    <w:qFormat/>
    <w:rsid w:val="00aa08b4"/>
    <w:pPr/>
    <w:rPr>
      <w:b/>
      <w:bCs/>
    </w:rPr>
  </w:style>
  <w:style w:type="paragraph" w:styleId="ConsPlusNormal" w:customStyle="1">
    <w:name w:val="ConsPlusNormal"/>
    <w:qFormat/>
    <w:rsid w:val="00fb6ddf"/>
    <w:pPr>
      <w:widowControl w:val="false"/>
      <w:suppressAutoHyphens w:val="true"/>
      <w:bidi w:val="0"/>
      <w:spacing w:before="0" w:after="0"/>
      <w:jc w:val="start"/>
    </w:pPr>
    <w:rPr>
      <w:rFonts w:ascii="Times New Roman" w:hAnsi="Times New Roman" w:eastAsia="" w:cs="Times New Roman" w:eastAsiaTheme="minorEastAsia"/>
      <w:color w:val="auto"/>
      <w:kern w:val="0"/>
      <w:sz w:val="24"/>
      <w:szCs w:val="24"/>
      <w:lang w:val="ru-RU" w:eastAsia="ru-RU" w:bidi="ar-SA"/>
    </w:rPr>
  </w:style>
  <w:style w:type="paragraph" w:styleId="Style21" w:customStyle="1">
    <w:name w:val="Колонтитулы"/>
    <w:basedOn w:val="Normal"/>
    <w:qFormat/>
    <w:pPr/>
    <w:rPr/>
  </w:style>
  <w:style w:type="paragraph" w:styleId="user2" w:customStyle="1">
    <w:name w:val="Колонтитулы (user)"/>
    <w:basedOn w:val="Normal"/>
    <w:qFormat/>
    <w:pPr/>
    <w:rPr/>
  </w:style>
  <w:style w:type="paragraph" w:styleId="Header">
    <w:name w:val="header"/>
    <w:basedOn w:val="Normal"/>
    <w:link w:val="Style17"/>
    <w:uiPriority w:val="99"/>
    <w:unhideWhenUsed/>
    <w:rsid w:val="001c75ab"/>
    <w:pPr>
      <w:tabs>
        <w:tab w:val="clear" w:pos="708"/>
        <w:tab w:val="center" w:pos="4677" w:leader="none"/>
        <w:tab w:val="right" w:pos="9355" w:leader="none"/>
      </w:tabs>
    </w:pPr>
    <w:rPr/>
  </w:style>
  <w:style w:type="paragraph" w:styleId="Footer">
    <w:name w:val="footer"/>
    <w:basedOn w:val="Normal"/>
    <w:link w:val="Style18"/>
    <w:uiPriority w:val="99"/>
    <w:unhideWhenUsed/>
    <w:rsid w:val="001c75ab"/>
    <w:pPr>
      <w:tabs>
        <w:tab w:val="clear" w:pos="708"/>
        <w:tab w:val="center" w:pos="4677" w:leader="none"/>
        <w:tab w:val="right" w:pos="9355" w:leader="none"/>
      </w:tabs>
    </w:pPr>
    <w:rPr/>
  </w:style>
  <w:style w:type="paragraph" w:styleId="Style22" w:customStyle="1">
    <w:name w:val="Содержимое таблицы"/>
    <w:basedOn w:val="Normal"/>
    <w:qFormat/>
    <w:pPr>
      <w:widowControl w:val="false"/>
      <w:suppressLineNumbers/>
    </w:pPr>
    <w:rPr/>
  </w:style>
  <w:style w:type="paragraph" w:styleId="Style23" w:customStyle="1">
    <w:name w:val="Заголовок таблицы"/>
    <w:basedOn w:val="Style22"/>
    <w:qFormat/>
    <w:pPr>
      <w:jc w:val="center"/>
    </w:pPr>
    <w:rPr>
      <w:b/>
      <w:bCs/>
    </w:rPr>
  </w:style>
  <w:style w:type="paragraph" w:styleId="user3" w:customStyle="1">
    <w:name w:val="Содержимое таблицы (user)"/>
    <w:basedOn w:val="Normal"/>
    <w:qFormat/>
    <w:pPr>
      <w:widowControl w:val="false"/>
      <w:suppressLineNumbers/>
    </w:pPr>
    <w:rPr/>
  </w:style>
  <w:style w:type="paragraph" w:styleId="user4" w:customStyle="1">
    <w:name w:val="Заголовок таблицы (user)"/>
    <w:basedOn w:val="user3"/>
    <w:qFormat/>
    <w:pPr>
      <w:jc w:val="center"/>
    </w:pPr>
    <w:rPr>
      <w:b/>
      <w:bCs/>
    </w:rPr>
  </w:style>
  <w:style w:type="numbering" w:styleId="Style24" w:customStyle="1">
    <w:name w:val="Без списка"/>
    <w:uiPriority w:val="99"/>
    <w:semiHidden/>
    <w:unhideWhenUsed/>
    <w:qFormat/>
  </w:style>
  <w:style w:type="table" w:default="1" w:styleId="a1">
    <w:name w:val="Normal Table"/>
    <w:uiPriority w:val="99"/>
    <w:semiHidden/>
    <w:unhideWhenUsed/>
    <w:tblPr>
      <w:tblCellMar>
        <w:top w:w="0" w:type="dxa"/>
        <w:left w:w="108" w:type="dxa"/>
        <w:bottom w:w="0" w:type="dxa"/>
        <w:right w:w="108" w:type="dxa"/>
      </w:tblCellMar>
    </w:tblPr>
  </w:style>
  <w:style w:type="table" w:styleId="afa">
    <w:name w:val="Table Grid"/>
    <w:basedOn w:val="a1"/>
    <w:uiPriority w:val="39"/>
    <w:rsid w:val="00c41495"/>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itchFamily="0" charset="1"/>
        <a:ea typeface=""/>
        <a:cs typeface=""/>
      </a:majorFont>
      <a:minorFont>
        <a:latin typeface="Calibri" pitchFamily="0" charset="1"/>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l="0" t="0" r="0" b="0"/>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l="0" t="0" r="0" b="0"/>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l="0" t="0" r="0" b="0"/>
        </a:gradFill>
      </a:bgFillStyleLst>
    </a:fmtScheme>
  </a:themeElemen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4DAB9B6-B08B-4699-8F6B-53AFC3138C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122</TotalTime>
  <Application>LibreOffice/25.8.3.2$Linux_X86_64 LibreOffice_project/580$Build-2</Application>
  <AppVersion>15.0000</AppVersion>
  <Pages>3</Pages>
  <Words>1692</Words>
  <Characters>13283</Characters>
  <CharactersWithSpaces>15107</CharactersWithSpaces>
  <Paragraphs>201</Paragraphs>
  <Company>SPecialiST RePack</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2025-11-01T04:12:00Z</dcterms:created>
  <dc:creator>Ольга Райх</dc:creator>
  <dc:description/>
  <dc:language>ru-RU</dc:language>
  <cp:lastModifiedBy/>
  <cp:lastPrinted>2026-07-27T15:38:00Z</cp:lastPrinted>
  <dcterms:modified xsi:type="dcterms:W3CDTF">2026-07-31T10:04:17Z</dcterms:modified>
  <cp:revision>18</cp:revision>
  <dc:subject/>
  <dc:title/>
</cp:coreProperties>
</file>

<file path=docProps/custom.xml><?xml version="1.0" encoding="utf-8"?>
<Properties xmlns="http://schemas.openxmlformats.org/officeDocument/2006/custom-properties" xmlns:vt="http://schemas.openxmlformats.org/officeDocument/2006/docPropsVTypes"/>
</file>