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Style w:val="Strong"/>
          <w:rFonts w:ascii="Arial" w:hAnsi="Arial" w:eastAsia="Times New Roman" w:cs="Arial"/>
          <w:sz w:val="17"/>
          <w:szCs w:val="17"/>
        </w:rPr>
      </w:pPr>
      <w:r>
        <w:rPr>
          <w:rFonts w:eastAsia="Times New Roman" w:cs="Arial" w:ascii="Arial" w:hAnsi="Arial"/>
          <w:sz w:val="17"/>
          <w:szCs w:val="17"/>
        </w:rPr>
      </w:r>
    </w:p>
    <w:p>
      <w:pPr>
        <w:pStyle w:val="Normal"/>
        <w:jc w:val="center"/>
        <w:rPr>
          <w:rStyle w:val="Strong"/>
          <w:rFonts w:ascii="Arial" w:hAnsi="Arial" w:eastAsia="Times New Roman" w:cs="Arial"/>
          <w:sz w:val="17"/>
          <w:szCs w:val="17"/>
        </w:rPr>
      </w:pPr>
      <w:r>
        <w:rPr>
          <w:rStyle w:val="Strong"/>
          <w:rFonts w:eastAsia="Times New Roman" w:cs="Arial" w:ascii="Arial" w:hAnsi="Arial"/>
          <w:sz w:val="17"/>
          <w:szCs w:val="17"/>
        </w:rPr>
        <w:t xml:space="preserve">Договор на оказание платных медицинских услуг </w:t>
      </w:r>
    </w:p>
    <w:p>
      <w:pPr>
        <w:pStyle w:val="Normal"/>
        <w:jc w:val="center"/>
        <w:rPr>
          <w:rFonts w:ascii="Arial" w:hAnsi="Arial" w:eastAsia="Times New Roman" w:cs="Arial"/>
          <w:color w:val="000000"/>
          <w:sz w:val="15"/>
          <w:szCs w:val="15"/>
        </w:rPr>
      </w:pPr>
      <w:r>
        <w:rPr>
          <w:rFonts w:eastAsia="Times New Roman" w:cs="Arial" w:ascii="Arial" w:hAnsi="Arial"/>
          <w:color w:val="000000"/>
          <w:sz w:val="15"/>
          <w:szCs w:val="15"/>
        </w:rPr>
        <w:t>(медицинское освидетельствование на состояние опьянения, вызванное алкоголем, наркотическими средствами и психотропными веществами)</w:t>
      </w:r>
    </w:p>
    <w:p>
      <w:pPr>
        <w:pStyle w:val="Normal"/>
        <w:jc w:val="center"/>
        <w:rPr>
          <w:rFonts w:ascii="Arial" w:hAnsi="Arial" w:eastAsia="Times New Roman" w:cs="Arial"/>
          <w:sz w:val="17"/>
          <w:szCs w:val="17"/>
        </w:rPr>
      </w:pPr>
      <w:r>
        <w:rPr>
          <w:rFonts w:eastAsia="Times New Roman" w:cs="Arial" w:ascii="Arial" w:hAnsi="Arial"/>
          <w:sz w:val="17"/>
          <w:szCs w:val="17"/>
        </w:rPr>
      </w:r>
    </w:p>
    <w:tbl>
      <w:tblPr>
        <w:tblW w:w="5000" w:type="pct"/>
        <w:jc w:val="center"/>
        <w:tblInd w:w="0" w:type="dxa"/>
        <w:tblLayout w:type="fixed"/>
        <w:tblCellMar>
          <w:top w:w="12" w:type="dxa"/>
          <w:start w:w="12" w:type="dxa"/>
          <w:bottom w:w="12" w:type="dxa"/>
          <w:end w:w="12" w:type="dxa"/>
        </w:tblCellMar>
        <w:tblLook w:val="04a0" w:noHBand="0" w:noVBand="1" w:firstColumn="1" w:lastRow="0" w:lastColumn="0" w:firstRow="1"/>
      </w:tblPr>
      <w:tblGrid>
        <w:gridCol w:w="3984"/>
        <w:gridCol w:w="6504"/>
      </w:tblGrid>
      <w:tr>
        <w:trPr>
          <w:trHeight w:val="347" w:hRule="atLeast"/>
        </w:trPr>
        <w:tc>
          <w:tcPr>
            <w:tcW w:w="3984" w:type="dxa"/>
            <w:tcBorders/>
            <w:vAlign w:val="center"/>
          </w:tcPr>
          <w:p>
            <w:pPr>
              <w:pStyle w:val="Normal"/>
              <w:rPr>
                <w:rFonts w:ascii="Arial" w:hAnsi="Arial" w:eastAsia="Times New Roman" w:cs="Arial"/>
                <w:sz w:val="17"/>
                <w:szCs w:val="17"/>
              </w:rPr>
            </w:pPr>
            <w:r>
              <w:rPr>
                <w:rFonts w:eastAsia="Times New Roman" w:cs="Arial" w:ascii="Arial" w:hAnsi="Arial"/>
                <w:sz w:val="17"/>
                <w:szCs w:val="17"/>
              </w:rPr>
              <w:t>г. Новокузнецк</w:t>
            </w:r>
          </w:p>
        </w:tc>
        <w:tc>
          <w:tcPr>
            <w:tcW w:w="6504" w:type="dxa"/>
            <w:tcBorders/>
            <w:vAlign w:val="center"/>
          </w:tcPr>
          <w:p>
            <w:pPr>
              <w:pStyle w:val="Normal"/>
              <w:jc w:val="end"/>
              <w:rPr>
                <w:rFonts w:ascii="Arial" w:hAnsi="Arial" w:eastAsia="Times New Roman" w:cs="Arial"/>
                <w:sz w:val="17"/>
                <w:szCs w:val="17"/>
              </w:rPr>
            </w:pPr>
            <w:r>
              <w:rPr>
                <w:rFonts w:eastAsia="Times New Roman" w:cs="Arial" w:ascii="Arial" w:hAnsi="Arial"/>
                <w:sz w:val="17"/>
                <w:szCs w:val="17"/>
              </w:rPr>
              <w:t>«___» _______  202__ г.</w:t>
            </w:r>
          </w:p>
        </w:tc>
      </w:tr>
    </w:tbl>
    <w:p>
      <w:pPr>
        <w:pStyle w:val="Normal"/>
        <w:jc w:val="both"/>
        <w:rPr>
          <w:rFonts w:ascii="Arial" w:hAnsi="Arial" w:eastAsia="Times New Roman" w:cs="Arial"/>
          <w:sz w:val="17"/>
          <w:szCs w:val="17"/>
        </w:rPr>
      </w:pPr>
      <w:r>
        <w:rPr>
          <w:rFonts w:eastAsia="Times New Roman" w:cs="Arial" w:ascii="Arial" w:hAnsi="Arial"/>
          <w:sz w:val="17"/>
          <w:szCs w:val="17"/>
        </w:rPr>
        <w:t xml:space="preserve"> </w:t>
      </w:r>
    </w:p>
    <w:p>
      <w:pPr>
        <w:pStyle w:val="Normal"/>
        <w:jc w:val="both"/>
        <w:rPr>
          <w:rFonts w:ascii="Arial" w:hAnsi="Arial" w:eastAsia="Times New Roman" w:cs="Arial"/>
          <w:sz w:val="17"/>
          <w:szCs w:val="17"/>
        </w:rPr>
      </w:pPr>
      <w:r>
        <w:rPr>
          <w:rFonts w:eastAsia="Times New Roman" w:cs="Arial" w:ascii="Arial" w:hAnsi="Arial"/>
          <w:b/>
          <w:sz w:val="17"/>
          <w:szCs w:val="17"/>
        </w:rPr>
        <w:t>Государственное бюджетное учреждение здравоохранения «Новокузнецкий наркологический диспансер»</w:t>
      </w:r>
      <w:r>
        <w:rPr>
          <w:rFonts w:eastAsia="Times New Roman" w:cs="Arial" w:ascii="Arial" w:hAnsi="Arial"/>
          <w:sz w:val="17"/>
          <w:szCs w:val="17"/>
        </w:rPr>
        <w:t xml:space="preserve"> (ГБУЗ ННД), именуемое в дальнейшем «Исполнитель», в лице и.о. </w:t>
      </w:r>
      <w:r>
        <w:rPr>
          <w:rStyle w:val="admin"/>
          <w:rFonts w:eastAsia="Times New Roman" w:cs="Arial" w:ascii="Arial" w:hAnsi="Arial"/>
          <w:sz w:val="17"/>
          <w:szCs w:val="17"/>
        </w:rPr>
        <w:t xml:space="preserve">главного врача Георгиевской О.В., действующей на основании Приказа Минздрава Кузбасса от 16.10.2025 г. № 802-л, </w:t>
      </w:r>
      <w:r>
        <w:rPr>
          <w:rFonts w:eastAsia="Times New Roman" w:cs="Arial" w:ascii="Arial" w:hAnsi="Arial"/>
          <w:sz w:val="17"/>
          <w:szCs w:val="17"/>
        </w:rPr>
        <w:t xml:space="preserve">с одной стороны, и </w:t>
      </w:r>
    </w:p>
    <w:p>
      <w:pPr>
        <w:pStyle w:val="Normal"/>
        <w:jc w:val="both"/>
        <w:rPr>
          <w:rFonts w:ascii="Arial" w:hAnsi="Arial" w:eastAsia="Times New Roman" w:cs="Arial"/>
          <w:sz w:val="17"/>
          <w:szCs w:val="17"/>
        </w:rPr>
      </w:pPr>
      <w:r>
        <w:rPr>
          <w:rFonts w:eastAsia="Times New Roman" w:cs="Arial" w:ascii="Arial" w:hAnsi="Arial"/>
          <w:sz w:val="17"/>
          <w:szCs w:val="17"/>
        </w:rPr>
        <w:t xml:space="preserve">______________________________________________________________________________________________________________, </w:t>
      </w:r>
    </w:p>
    <w:p>
      <w:pPr>
        <w:pStyle w:val="Normal"/>
        <w:jc w:val="center"/>
        <w:rPr>
          <w:rFonts w:ascii="Arial" w:hAnsi="Arial" w:eastAsia="Times New Roman" w:cs="Arial"/>
          <w:b/>
          <w:i/>
          <w:i/>
          <w:sz w:val="15"/>
          <w:szCs w:val="15"/>
        </w:rPr>
      </w:pPr>
      <w:r>
        <w:rPr>
          <w:rFonts w:eastAsia="Times New Roman" w:cs="Arial" w:ascii="Arial" w:hAnsi="Arial"/>
          <w:b/>
          <w:i/>
          <w:sz w:val="15"/>
          <w:szCs w:val="15"/>
        </w:rPr>
        <w:t>(фамилия, имя, отчество (при наличии) гражданина или наименование юридического лица)</w:t>
      </w:r>
    </w:p>
    <w:p>
      <w:pPr>
        <w:pStyle w:val="Normal"/>
        <w:jc w:val="both"/>
        <w:rPr>
          <w:rFonts w:ascii="Arial" w:hAnsi="Arial" w:eastAsia="Times New Roman" w:cs="Arial"/>
          <w:sz w:val="17"/>
          <w:szCs w:val="17"/>
        </w:rPr>
      </w:pPr>
      <w:r>
        <w:rPr>
          <w:rFonts w:eastAsia="Times New Roman" w:cs="Arial" w:ascii="Arial" w:hAnsi="Arial"/>
          <w:sz w:val="17"/>
          <w:szCs w:val="17"/>
        </w:rPr>
        <w:t>именуемый (ая) в дальнейшем «Заказчик», с другой стороны, и</w:t>
      </w:r>
    </w:p>
    <w:p>
      <w:pPr>
        <w:pStyle w:val="Normal"/>
        <w:jc w:val="both"/>
        <w:rPr>
          <w:rFonts w:ascii="Arial" w:hAnsi="Arial" w:eastAsia="Times New Roman" w:cs="Arial"/>
          <w:sz w:val="17"/>
          <w:szCs w:val="17"/>
        </w:rPr>
      </w:pPr>
      <w:r>
        <w:rPr>
          <w:rFonts w:eastAsia="Times New Roman" w:cs="Arial" w:ascii="Arial" w:hAnsi="Arial"/>
          <w:sz w:val="17"/>
          <w:szCs w:val="17"/>
        </w:rPr>
        <w:t xml:space="preserve"> </w:t>
      </w:r>
      <w:r>
        <w:rPr>
          <w:rFonts w:eastAsia="Times New Roman" w:cs="Arial" w:ascii="Arial" w:hAnsi="Arial"/>
          <w:sz w:val="17"/>
          <w:szCs w:val="17"/>
        </w:rPr>
        <w:t xml:space="preserve">_____________________________________________________________________________________________________________, </w:t>
      </w:r>
    </w:p>
    <w:p>
      <w:pPr>
        <w:pStyle w:val="Normal"/>
        <w:jc w:val="center"/>
        <w:rPr>
          <w:rFonts w:ascii="Arial" w:hAnsi="Arial" w:eastAsia="Times New Roman" w:cs="Arial"/>
          <w:b/>
          <w:i/>
          <w:i/>
          <w:sz w:val="15"/>
          <w:szCs w:val="15"/>
        </w:rPr>
      </w:pPr>
      <w:r>
        <w:rPr>
          <w:rFonts w:eastAsia="Times New Roman" w:cs="Arial" w:ascii="Arial" w:hAnsi="Arial"/>
          <w:b/>
          <w:i/>
          <w:sz w:val="15"/>
          <w:szCs w:val="15"/>
        </w:rPr>
        <w:t>(фамилия, имя, отчество (при наличии) гражданина либо законного представителя)</w:t>
      </w:r>
    </w:p>
    <w:p>
      <w:pPr>
        <w:pStyle w:val="Normal"/>
        <w:jc w:val="both"/>
        <w:rPr>
          <w:rFonts w:ascii="Arial" w:hAnsi="Arial" w:eastAsia="Times New Roman" w:cs="Arial"/>
          <w:sz w:val="17"/>
          <w:szCs w:val="17"/>
        </w:rPr>
      </w:pPr>
      <w:r>
        <w:rPr>
          <w:rFonts w:eastAsia="Times New Roman" w:cs="Arial" w:ascii="Arial" w:hAnsi="Arial"/>
          <w:sz w:val="17"/>
          <w:szCs w:val="17"/>
        </w:rPr>
        <w:t xml:space="preserve">именуемый (ая) в дальнейшем «Потребитель», действующий (ая) в своих интересах или в интересах </w:t>
      </w:r>
      <w:r>
        <w:rPr>
          <w:rFonts w:eastAsia="Times New Roman" w:cs="Arial" w:ascii="Arial" w:hAnsi="Arial"/>
          <w:color w:val="000000"/>
          <w:sz w:val="17"/>
          <w:szCs w:val="17"/>
        </w:rPr>
        <w:t>лица, не достигшего 15 лет, или недееспособного гражданина</w:t>
      </w:r>
      <w:r>
        <w:rPr>
          <w:rFonts w:eastAsia="Times New Roman" w:cs="Arial" w:ascii="Arial" w:hAnsi="Arial"/>
          <w:sz w:val="17"/>
          <w:szCs w:val="17"/>
        </w:rPr>
        <w:t xml:space="preserve"> (данные о нем указываются в п. 1.3. Договора), с третьей стороны, вместе именуемые «Стороны», заключили настоящий Договор (далее – Договор) о нижеследующем:</w:t>
      </w:r>
      <w:r>
        <w:rPr>
          <w:rFonts w:eastAsia="Times New Roman" w:cs="Arial" w:ascii="Arial" w:hAnsi="Arial"/>
          <w:b/>
          <w:bCs/>
          <w:color w:val="000000"/>
          <w:sz w:val="17"/>
          <w:szCs w:val="17"/>
        </w:rPr>
        <w:t xml:space="preserve"> </w:t>
      </w:r>
    </w:p>
    <w:p>
      <w:pPr>
        <w:pStyle w:val="NormalWeb"/>
        <w:spacing w:beforeAutospacing="0" w:before="0" w:afterAutospacing="0" w:after="0"/>
        <w:jc w:val="center"/>
        <w:rPr>
          <w:rFonts w:ascii="Arial" w:hAnsi="Arial" w:eastAsia="Times New Roman" w:cs="Arial"/>
          <w:color w:val="000000"/>
          <w:sz w:val="17"/>
          <w:szCs w:val="17"/>
        </w:rPr>
      </w:pPr>
      <w:r>
        <w:rPr>
          <w:rStyle w:val="Strong"/>
          <w:rFonts w:cs="Arial" w:ascii="Arial" w:hAnsi="Arial"/>
          <w:sz w:val="17"/>
          <w:szCs w:val="17"/>
        </w:rPr>
        <w:t xml:space="preserve">1. </w:t>
      </w:r>
      <w:r>
        <w:rPr>
          <w:rFonts w:eastAsia="Times New Roman" w:cs="Arial" w:ascii="Arial" w:hAnsi="Arial"/>
          <w:b/>
          <w:bCs/>
          <w:color w:val="000000"/>
          <w:sz w:val="17"/>
          <w:szCs w:val="17"/>
        </w:rPr>
        <w:t>Предмет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1.1. Исполнитель обязуется оказать Потребителю медицинские услуги по своему профилю деятельности, а Потребитель (Заказчик) обязуется оплатить оказанные услуги.</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1.2. </w:t>
      </w:r>
      <w:r>
        <w:rPr>
          <w:rStyle w:val="Hyperlink"/>
          <w:rFonts w:eastAsia="Times New Roman" w:cs="Arial" w:ascii="Arial" w:hAnsi="Arial"/>
          <w:color w:val="000000"/>
          <w:sz w:val="17"/>
          <w:szCs w:val="17"/>
          <w:u w:val="none"/>
        </w:rPr>
        <w:t>Исполнитель действует на основании Лицензии на осуществление медицинской деятельности № Л041-01161-42/00323208, выданной Министерством здравоохранения Кузбасса, срок действия лицензии: с 27 августа 2013 года бессрочно; перечень предоставляемых работ (услуг), составляющих медицинскую деятельность, в рамках настоящего договора: психиатрия-наркология, клиническая лабораторная диагностика. С полным перечнем работ (услуг), указанным в едином реестре лицензий, можно ознакомиться на информационных стендах (стойках) Исполнителя, а также на сайте Исполнителя https://nardis.su/about/license/ в сети «Интернет».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1.3. Данные о несовершеннолетнем или недееспособном потребителе:</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Ф.И.О. _________________________________________________________________ Дата рождения:__________________________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Данные паспорта/свидетельства о рождении):________________________________________________________________________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______________________________________________________________________________________________________________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Адрес места жительства: _________________________________________________________________________________________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Иные адреса (при наличии): ______________________________________________________ Телефон: _______________________</w:t>
      </w:r>
    </w:p>
    <w:p>
      <w:pPr>
        <w:pStyle w:val="Normal"/>
        <w:jc w:val="center"/>
        <w:rPr>
          <w:rFonts w:ascii="Arial" w:hAnsi="Arial" w:eastAsia="Times New Roman" w:cs="Arial"/>
          <w:b/>
          <w:color w:val="000000"/>
          <w:sz w:val="17"/>
          <w:szCs w:val="17"/>
        </w:rPr>
      </w:pPr>
      <w:r>
        <w:rPr>
          <w:rFonts w:eastAsia="Times New Roman" w:cs="Arial" w:ascii="Arial" w:hAnsi="Arial"/>
          <w:b/>
          <w:color w:val="000000"/>
          <w:sz w:val="17"/>
          <w:szCs w:val="17"/>
        </w:rPr>
        <w:t>2. Условия предоставления медицинских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2.1. Перечень медицинских услуг, оказываемых по договору, определяется путем проставления знака «</w:t>
      </w:r>
      <w:r>
        <w:rPr>
          <w:rFonts w:eastAsia="Times New Roman" w:cs="Arial" w:ascii="Arial" w:hAnsi="Arial"/>
          <w:color w:val="000000"/>
          <w:sz w:val="17"/>
          <w:szCs w:val="17"/>
          <w:lang w:val="en-US"/>
        </w:rPr>
        <w:t>V</w:t>
      </w:r>
      <w:r>
        <w:rPr>
          <w:rFonts w:eastAsia="Times New Roman" w:cs="Arial" w:ascii="Arial" w:hAnsi="Arial"/>
          <w:color w:val="000000"/>
          <w:sz w:val="17"/>
          <w:szCs w:val="17"/>
        </w:rPr>
        <w:t>» в графе «Выбор»:</w:t>
      </w:r>
    </w:p>
    <w:tbl>
      <w:tblPr>
        <w:tblW w:w="10454" w:type="dxa"/>
        <w:jc w:val="start"/>
        <w:tblInd w:w="42" w:type="dxa"/>
        <w:tblLayout w:type="fixed"/>
        <w:tblCellMar>
          <w:top w:w="28" w:type="dxa"/>
          <w:start w:w="28" w:type="dxa"/>
          <w:bottom w:w="28" w:type="dxa"/>
          <w:end w:w="28" w:type="dxa"/>
        </w:tblCellMar>
        <w:tblLook w:val="04a0" w:noHBand="0" w:noVBand="1" w:firstColumn="1" w:lastRow="0" w:lastColumn="0" w:firstRow="1"/>
      </w:tblPr>
      <w:tblGrid>
        <w:gridCol w:w="587"/>
        <w:gridCol w:w="1588"/>
        <w:gridCol w:w="6011"/>
        <w:gridCol w:w="849"/>
        <w:gridCol w:w="738"/>
        <w:gridCol w:w="681"/>
      </w:tblGrid>
      <w:tr>
        <w:trPr/>
        <w:tc>
          <w:tcPr>
            <w:tcW w:w="587" w:type="dxa"/>
            <w:tcBorders>
              <w:top w:val="single" w:sz="2" w:space="0" w:color="000000"/>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 xml:space="preserve">№ </w:t>
            </w:r>
            <w:r>
              <w:rPr>
                <w:rFonts w:ascii="Arial" w:hAnsi="Arial"/>
                <w:sz w:val="16"/>
                <w:szCs w:val="16"/>
              </w:rPr>
              <w:t>п/п</w:t>
            </w:r>
          </w:p>
          <w:p>
            <w:pPr>
              <w:pStyle w:val="Style22"/>
              <w:jc w:val="center"/>
              <w:rPr>
                <w:rFonts w:ascii="Arial" w:hAnsi="Arial"/>
                <w:sz w:val="16"/>
                <w:szCs w:val="16"/>
              </w:rPr>
            </w:pPr>
            <w:r>
              <w:rPr>
                <w:rFonts w:ascii="Arial" w:hAnsi="Arial"/>
                <w:sz w:val="16"/>
                <w:szCs w:val="16"/>
              </w:rPr>
            </w:r>
          </w:p>
        </w:tc>
        <w:tc>
          <w:tcPr>
            <w:tcW w:w="1588" w:type="dxa"/>
            <w:tcBorders>
              <w:top w:val="single" w:sz="2" w:space="0" w:color="000000"/>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Код</w:t>
            </w:r>
          </w:p>
          <w:p>
            <w:pPr>
              <w:pStyle w:val="Style22"/>
              <w:jc w:val="center"/>
              <w:rPr>
                <w:rFonts w:ascii="Arial" w:hAnsi="Arial"/>
                <w:sz w:val="16"/>
                <w:szCs w:val="16"/>
              </w:rPr>
            </w:pPr>
            <w:r>
              <w:rPr>
                <w:rFonts w:ascii="Arial" w:hAnsi="Arial"/>
                <w:sz w:val="16"/>
                <w:szCs w:val="16"/>
              </w:rPr>
            </w:r>
          </w:p>
        </w:tc>
        <w:tc>
          <w:tcPr>
            <w:tcW w:w="6011" w:type="dxa"/>
            <w:tcBorders>
              <w:top w:val="single" w:sz="2" w:space="0" w:color="000000"/>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Наименование услуги</w:t>
            </w:r>
          </w:p>
        </w:tc>
        <w:tc>
          <w:tcPr>
            <w:tcW w:w="849" w:type="dxa"/>
            <w:tcBorders>
              <w:top w:val="single" w:sz="2" w:space="0" w:color="000000"/>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Цена, руб.</w:t>
            </w:r>
          </w:p>
        </w:tc>
        <w:tc>
          <w:tcPr>
            <w:tcW w:w="738" w:type="dxa"/>
            <w:tcBorders>
              <w:top w:val="single" w:sz="2" w:space="0" w:color="000000"/>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Кол-во</w:t>
            </w:r>
          </w:p>
        </w:tc>
        <w:tc>
          <w:tcPr>
            <w:tcW w:w="681" w:type="dxa"/>
            <w:tcBorders>
              <w:top w:val="single" w:sz="2" w:space="0" w:color="000000"/>
              <w:start w:val="single" w:sz="2" w:space="0" w:color="000000"/>
              <w:bottom w:val="single" w:sz="2" w:space="0" w:color="000000"/>
              <w:end w:val="single" w:sz="2" w:space="0" w:color="000000"/>
            </w:tcBorders>
          </w:tcPr>
          <w:p>
            <w:pPr>
              <w:pStyle w:val="Style22"/>
              <w:jc w:val="center"/>
              <w:rPr>
                <w:rFonts w:ascii="Arial" w:hAnsi="Arial"/>
                <w:sz w:val="16"/>
                <w:szCs w:val="16"/>
              </w:rPr>
            </w:pPr>
            <w:r>
              <w:rPr>
                <w:rFonts w:ascii="Arial" w:hAnsi="Arial"/>
                <w:sz w:val="16"/>
                <w:szCs w:val="16"/>
              </w:rPr>
              <w:t>Выбор</w:t>
            </w:r>
          </w:p>
        </w:tc>
      </w:tr>
      <w:tr>
        <w:trPr>
          <w:trHeight w:val="393" w:hRule="atLeast"/>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1</w:t>
            </w:r>
          </w:p>
        </w:tc>
        <w:tc>
          <w:tcPr>
            <w:tcW w:w="1588" w:type="dxa"/>
            <w:vMerge w:val="restart"/>
            <w:tcBorders>
              <w:start w:val="single" w:sz="2" w:space="0" w:color="000000"/>
              <w:bottom w:val="single" w:sz="2" w:space="0" w:color="000000"/>
            </w:tcBorders>
          </w:tcPr>
          <w:p>
            <w:pPr>
              <w:pStyle w:val="Normal"/>
              <w:widowControl w:val="false"/>
              <w:jc w:val="center"/>
              <w:rPr>
                <w:rFonts w:ascii="Arial" w:hAnsi="Arial"/>
                <w:sz w:val="16"/>
                <w:szCs w:val="16"/>
              </w:rPr>
            </w:pPr>
            <w:r>
              <w:rPr>
                <w:rFonts w:eastAsia="Calibri" w:ascii="Arial" w:hAnsi="Arial"/>
                <w:bCs/>
                <w:sz w:val="16"/>
                <w:szCs w:val="16"/>
              </w:rPr>
              <w:t>В01.070.001</w:t>
            </w:r>
          </w:p>
        </w:tc>
        <w:tc>
          <w:tcPr>
            <w:tcW w:w="6011" w:type="dxa"/>
            <w:tcBorders>
              <w:start w:val="single" w:sz="2" w:space="0" w:color="000000"/>
              <w:bottom w:val="single" w:sz="2" w:space="0" w:color="000000"/>
            </w:tcBorders>
          </w:tcPr>
          <w:p>
            <w:pPr>
              <w:pStyle w:val="Normal"/>
              <w:rPr>
                <w:rFonts w:ascii="Arial" w:hAnsi="Arial"/>
                <w:sz w:val="16"/>
                <w:szCs w:val="16"/>
              </w:rPr>
            </w:pPr>
            <w:r>
              <w:rPr>
                <w:rFonts w:ascii="Arial" w:hAnsi="Arial"/>
                <w:sz w:val="16"/>
                <w:szCs w:val="16"/>
              </w:rPr>
              <w:t>Медицинское освидетельствование на состояние опьянения (алкогольного, наркотического или иного токсического)</w:t>
            </w:r>
          </w:p>
        </w:tc>
        <w:tc>
          <w:tcPr>
            <w:tcW w:w="849"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1 110,00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2</w:t>
            </w:r>
          </w:p>
        </w:tc>
        <w:tc>
          <w:tcPr>
            <w:tcW w:w="1588"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011" w:type="dxa"/>
            <w:tcBorders>
              <w:start w:val="single" w:sz="2" w:space="0" w:color="000000"/>
              <w:bottom w:val="single" w:sz="2" w:space="0" w:color="000000"/>
            </w:tcBorders>
          </w:tcPr>
          <w:p>
            <w:pPr>
              <w:pStyle w:val="Style22"/>
              <w:rPr>
                <w:rFonts w:ascii="Arial" w:hAnsi="Arial"/>
                <w:sz w:val="16"/>
                <w:szCs w:val="16"/>
              </w:rPr>
            </w:pPr>
            <w:r>
              <w:rPr>
                <w:rFonts w:ascii="Arial" w:hAnsi="Arial"/>
                <w:sz w:val="16"/>
                <w:szCs w:val="16"/>
              </w:rPr>
              <w:t>Отказ от медицинского освидетельствования во время проведения процедуры медицинского освидетельствования</w:t>
            </w:r>
          </w:p>
        </w:tc>
        <w:tc>
          <w:tcPr>
            <w:tcW w:w="849"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1 110,00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3</w:t>
            </w:r>
          </w:p>
        </w:tc>
        <w:tc>
          <w:tcPr>
            <w:tcW w:w="1588"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011" w:type="dxa"/>
            <w:tcBorders>
              <w:start w:val="single" w:sz="2" w:space="0" w:color="000000"/>
              <w:bottom w:val="single" w:sz="2" w:space="0" w:color="000000"/>
            </w:tcBorders>
          </w:tcPr>
          <w:p>
            <w:pPr>
              <w:pStyle w:val="Style22"/>
              <w:rPr>
                <w:rFonts w:ascii="Arial" w:hAnsi="Arial"/>
                <w:sz w:val="16"/>
                <w:szCs w:val="16"/>
              </w:rPr>
            </w:pPr>
            <w:r>
              <w:rPr>
                <w:rFonts w:ascii="Arial" w:hAnsi="Arial"/>
                <w:sz w:val="16"/>
                <w:szCs w:val="16"/>
              </w:rPr>
              <w:t>Отказ от медицинского освидетельствования с оформлением медицинской документации до начала его проведения</w:t>
            </w:r>
          </w:p>
        </w:tc>
        <w:tc>
          <w:tcPr>
            <w:tcW w:w="849"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485,00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rHeight w:val="216" w:hRule="atLeast"/>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4</w:t>
            </w:r>
          </w:p>
        </w:tc>
        <w:tc>
          <w:tcPr>
            <w:tcW w:w="1588" w:type="dxa"/>
            <w:tcBorders>
              <w:start w:val="single" w:sz="2" w:space="0" w:color="000000"/>
              <w:bottom w:val="single" w:sz="2" w:space="0" w:color="000000"/>
            </w:tcBorders>
          </w:tcPr>
          <w:p>
            <w:pPr>
              <w:pStyle w:val="Normal"/>
              <w:widowControl w:val="false"/>
              <w:jc w:val="center"/>
              <w:rPr>
                <w:rFonts w:ascii="Arial" w:hAnsi="Arial" w:eastAsia="Calibri"/>
                <w:bCs/>
                <w:sz w:val="16"/>
                <w:szCs w:val="16"/>
              </w:rPr>
            </w:pPr>
            <w:r>
              <w:rPr>
                <w:rFonts w:eastAsia="Calibri" w:ascii="Arial" w:hAnsi="Arial"/>
                <w:bCs/>
                <w:sz w:val="16"/>
                <w:szCs w:val="16"/>
              </w:rPr>
              <w:t>А11.28.014</w:t>
            </w:r>
          </w:p>
        </w:tc>
        <w:tc>
          <w:tcPr>
            <w:tcW w:w="6011" w:type="dxa"/>
            <w:tcBorders>
              <w:start w:val="single" w:sz="2" w:space="0" w:color="000000"/>
              <w:bottom w:val="single" w:sz="2" w:space="0" w:color="000000"/>
            </w:tcBorders>
          </w:tcPr>
          <w:p>
            <w:pPr>
              <w:pStyle w:val="Normal"/>
              <w:widowControl w:val="false"/>
              <w:rPr>
                <w:rFonts w:ascii="Arial" w:hAnsi="Arial" w:eastAsia="Calibri"/>
                <w:bCs/>
                <w:sz w:val="16"/>
                <w:szCs w:val="16"/>
              </w:rPr>
            </w:pPr>
            <w:r>
              <w:rPr>
                <w:rFonts w:eastAsia="Calibri" w:ascii="Arial" w:hAnsi="Arial"/>
                <w:bCs/>
                <w:sz w:val="16"/>
                <w:szCs w:val="16"/>
              </w:rPr>
              <w:t>Сбор мочи для лабораторного исследования</w:t>
            </w:r>
          </w:p>
        </w:tc>
        <w:tc>
          <w:tcPr>
            <w:tcW w:w="849"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146,00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5</w:t>
            </w:r>
          </w:p>
        </w:tc>
        <w:tc>
          <w:tcPr>
            <w:tcW w:w="1588"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A11.12.009</w:t>
            </w:r>
          </w:p>
        </w:tc>
        <w:tc>
          <w:tcPr>
            <w:tcW w:w="6011" w:type="dxa"/>
            <w:tcBorders>
              <w:start w:val="single" w:sz="2" w:space="0" w:color="000000"/>
              <w:bottom w:val="single" w:sz="2" w:space="0" w:color="000000"/>
            </w:tcBorders>
          </w:tcPr>
          <w:p>
            <w:pPr>
              <w:pStyle w:val="Style22"/>
              <w:rPr>
                <w:rFonts w:ascii="Arial" w:hAnsi="Arial"/>
                <w:color w:val="000000"/>
                <w:sz w:val="16"/>
                <w:szCs w:val="16"/>
              </w:rPr>
            </w:pPr>
            <w:r>
              <w:rPr>
                <w:rFonts w:ascii="Arial" w:hAnsi="Arial"/>
                <w:color w:val="000000"/>
                <w:sz w:val="16"/>
                <w:szCs w:val="16"/>
              </w:rPr>
              <w:t>Взятие крови из периферической вены</w:t>
            </w:r>
          </w:p>
        </w:tc>
        <w:tc>
          <w:tcPr>
            <w:tcW w:w="849"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348,00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rHeight w:val="423" w:hRule="atLeast"/>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6</w:t>
            </w:r>
          </w:p>
        </w:tc>
        <w:tc>
          <w:tcPr>
            <w:tcW w:w="1588" w:type="dxa"/>
            <w:vMerge w:val="restart"/>
            <w:tcBorders>
              <w:start w:val="single" w:sz="2" w:space="0" w:color="000000"/>
              <w:bottom w:val="single" w:sz="2" w:space="0" w:color="000000"/>
            </w:tcBorders>
          </w:tcPr>
          <w:p>
            <w:pPr>
              <w:pStyle w:val="Normal"/>
              <w:widowControl w:val="false"/>
              <w:jc w:val="center"/>
              <w:rPr>
                <w:rFonts w:ascii="Arial" w:hAnsi="Arial" w:eastAsia="Calibri"/>
                <w:bCs/>
                <w:sz w:val="16"/>
                <w:szCs w:val="16"/>
              </w:rPr>
            </w:pPr>
            <w:r>
              <w:rPr>
                <w:rFonts w:eastAsia="Calibri" w:ascii="Arial" w:hAnsi="Arial"/>
                <w:bCs/>
                <w:sz w:val="16"/>
                <w:szCs w:val="16"/>
              </w:rPr>
              <w:t>А09.28.055</w:t>
            </w:r>
          </w:p>
        </w:tc>
        <w:tc>
          <w:tcPr>
            <w:tcW w:w="6011" w:type="dxa"/>
            <w:tcBorders>
              <w:start w:val="single" w:sz="2" w:space="0" w:color="000000"/>
              <w:bottom w:val="single" w:sz="2" w:space="0" w:color="000000"/>
            </w:tcBorders>
          </w:tcPr>
          <w:p>
            <w:pPr>
              <w:pStyle w:val="Style22"/>
              <w:rPr>
                <w:rFonts w:ascii="Arial" w:hAnsi="Arial"/>
                <w:sz w:val="16"/>
                <w:szCs w:val="16"/>
              </w:rPr>
            </w:pPr>
            <w:r>
              <w:rPr>
                <w:rFonts w:eastAsia="Calibri" w:ascii="Arial" w:hAnsi="Arial"/>
                <w:bCs/>
                <w:sz w:val="16"/>
                <w:szCs w:val="16"/>
              </w:rPr>
              <w:t>Определение   психоактивных веществ в моче (</w:t>
            </w:r>
            <w:r>
              <w:rPr>
                <w:rFonts w:ascii="Arial" w:hAnsi="Arial"/>
                <w:sz w:val="16"/>
                <w:szCs w:val="16"/>
              </w:rPr>
              <w:t>11 веществ: опиаты, растительные и синтетические каннабиноиды, амфетамин, метамфетамин, синтетические катиноны, кокаин, метадон, барбитураты, бензодиазепины,этилглюкуронид)</w:t>
            </w:r>
          </w:p>
        </w:tc>
        <w:tc>
          <w:tcPr>
            <w:tcW w:w="849"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2 242,00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7</w:t>
            </w:r>
          </w:p>
        </w:tc>
        <w:tc>
          <w:tcPr>
            <w:tcW w:w="1588" w:type="dxa"/>
            <w:vMerge w:val="continue"/>
            <w:tcBorders>
              <w:start w:val="single" w:sz="2" w:space="0" w:color="000000"/>
              <w:bottom w:val="single" w:sz="2" w:space="0" w:color="000000"/>
            </w:tcBorders>
          </w:tcPr>
          <w:p>
            <w:pPr>
              <w:pStyle w:val="Style22"/>
              <w:snapToGrid w:val="false"/>
              <w:jc w:val="center"/>
              <w:rPr>
                <w:rFonts w:ascii="Arial" w:hAnsi="Arial"/>
                <w:sz w:val="16"/>
                <w:szCs w:val="16"/>
              </w:rPr>
            </w:pPr>
            <w:r>
              <w:rPr>
                <w:rFonts w:ascii="Arial" w:hAnsi="Arial"/>
                <w:sz w:val="16"/>
                <w:szCs w:val="16"/>
              </w:rPr>
            </w:r>
          </w:p>
        </w:tc>
        <w:tc>
          <w:tcPr>
            <w:tcW w:w="6011" w:type="dxa"/>
            <w:tcBorders>
              <w:start w:val="single" w:sz="2" w:space="0" w:color="000000"/>
              <w:bottom w:val="single" w:sz="2" w:space="0" w:color="000000"/>
            </w:tcBorders>
          </w:tcPr>
          <w:p>
            <w:pPr>
              <w:pStyle w:val="Style22"/>
              <w:rPr>
                <w:rFonts w:ascii="Arial" w:hAnsi="Arial"/>
                <w:sz w:val="16"/>
                <w:szCs w:val="16"/>
              </w:rPr>
            </w:pPr>
            <w:r>
              <w:rPr>
                <w:rFonts w:eastAsia="Calibri" w:ascii="Arial" w:hAnsi="Arial"/>
                <w:bCs/>
                <w:sz w:val="16"/>
                <w:szCs w:val="16"/>
              </w:rPr>
              <w:t>Определение   психоактивных веществ в моче (</w:t>
            </w:r>
            <w:r>
              <w:rPr>
                <w:rFonts w:ascii="Arial" w:hAnsi="Arial"/>
                <w:sz w:val="16"/>
                <w:szCs w:val="16"/>
              </w:rPr>
              <w:t>методом ГХ-МС )</w:t>
            </w:r>
          </w:p>
        </w:tc>
        <w:tc>
          <w:tcPr>
            <w:tcW w:w="849"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5 262,00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8</w:t>
            </w:r>
          </w:p>
        </w:tc>
        <w:tc>
          <w:tcPr>
            <w:tcW w:w="1588" w:type="dxa"/>
            <w:vMerge w:val="continue"/>
            <w:tcBorders>
              <w:start w:val="single" w:sz="2" w:space="0" w:color="000000"/>
              <w:bottom w:val="single" w:sz="2" w:space="0" w:color="000000"/>
            </w:tcBorders>
          </w:tcPr>
          <w:p>
            <w:pPr>
              <w:pStyle w:val="Style22"/>
              <w:snapToGrid w:val="false"/>
              <w:jc w:val="center"/>
              <w:rPr>
                <w:rFonts w:ascii="Arial" w:hAnsi="Arial"/>
                <w:sz w:val="16"/>
                <w:szCs w:val="16"/>
              </w:rPr>
            </w:pPr>
            <w:r>
              <w:rPr>
                <w:rFonts w:ascii="Arial" w:hAnsi="Arial"/>
                <w:sz w:val="16"/>
                <w:szCs w:val="16"/>
              </w:rPr>
            </w:r>
          </w:p>
        </w:tc>
        <w:tc>
          <w:tcPr>
            <w:tcW w:w="6011" w:type="dxa"/>
            <w:tcBorders>
              <w:start w:val="single" w:sz="2" w:space="0" w:color="000000"/>
              <w:bottom w:val="single" w:sz="2" w:space="0" w:color="000000"/>
            </w:tcBorders>
          </w:tcPr>
          <w:p>
            <w:pPr>
              <w:pStyle w:val="Style22"/>
              <w:rPr>
                <w:rFonts w:ascii="Arial" w:hAnsi="Arial"/>
                <w:sz w:val="16"/>
                <w:szCs w:val="16"/>
              </w:rPr>
            </w:pPr>
            <w:r>
              <w:rPr>
                <w:rFonts w:eastAsia="Calibri" w:ascii="Arial" w:hAnsi="Arial"/>
                <w:bCs/>
                <w:sz w:val="16"/>
                <w:szCs w:val="16"/>
              </w:rPr>
              <w:t>Определение   психоактивных веществ в крови</w:t>
            </w:r>
          </w:p>
          <w:p>
            <w:pPr>
              <w:pStyle w:val="Style22"/>
              <w:rPr>
                <w:rFonts w:ascii="Arial" w:hAnsi="Arial"/>
                <w:sz w:val="16"/>
                <w:szCs w:val="16"/>
              </w:rPr>
            </w:pPr>
            <w:r>
              <w:rPr>
                <w:rFonts w:eastAsia="Calibri" w:ascii="Arial" w:hAnsi="Arial"/>
                <w:bCs/>
                <w:sz w:val="16"/>
                <w:szCs w:val="16"/>
              </w:rPr>
              <w:t>(</w:t>
            </w:r>
            <w:r>
              <w:rPr>
                <w:rFonts w:ascii="Arial" w:hAnsi="Arial"/>
                <w:sz w:val="16"/>
                <w:szCs w:val="16"/>
              </w:rPr>
              <w:t>методом ВЭЖХ-МС )</w:t>
            </w:r>
          </w:p>
        </w:tc>
        <w:tc>
          <w:tcPr>
            <w:tcW w:w="849"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5 281,00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r>
        <w:trPr/>
        <w:tc>
          <w:tcPr>
            <w:tcW w:w="587"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9</w:t>
            </w:r>
          </w:p>
        </w:tc>
        <w:tc>
          <w:tcPr>
            <w:tcW w:w="1588"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А09.05.036.008</w:t>
            </w:r>
          </w:p>
        </w:tc>
        <w:tc>
          <w:tcPr>
            <w:tcW w:w="6011" w:type="dxa"/>
            <w:tcBorders>
              <w:start w:val="single" w:sz="2" w:space="0" w:color="000000"/>
              <w:bottom w:val="single" w:sz="2" w:space="0" w:color="000000"/>
            </w:tcBorders>
          </w:tcPr>
          <w:p>
            <w:pPr>
              <w:pStyle w:val="Style22"/>
              <w:rPr>
                <w:rFonts w:ascii="Arial" w:hAnsi="Arial"/>
                <w:sz w:val="16"/>
                <w:szCs w:val="16"/>
              </w:rPr>
            </w:pPr>
            <w:r>
              <w:rPr>
                <w:rFonts w:ascii="Arial" w:hAnsi="Arial"/>
                <w:sz w:val="16"/>
                <w:szCs w:val="16"/>
              </w:rPr>
              <w:t>Определение концентрации этанола в крови методом газовой хроматографии</w:t>
            </w:r>
          </w:p>
        </w:tc>
        <w:tc>
          <w:tcPr>
            <w:tcW w:w="849" w:type="dxa"/>
            <w:tcBorders>
              <w:start w:val="single" w:sz="2" w:space="0" w:color="000000"/>
              <w:bottom w:val="single" w:sz="2" w:space="0" w:color="000000"/>
            </w:tcBorders>
          </w:tcPr>
          <w:p>
            <w:pPr>
              <w:pStyle w:val="Style22"/>
              <w:jc w:val="center"/>
              <w:rPr>
                <w:rFonts w:ascii="Arial" w:hAnsi="Arial"/>
                <w:sz w:val="16"/>
                <w:szCs w:val="16"/>
              </w:rPr>
            </w:pPr>
            <w:r>
              <w:rPr>
                <w:rFonts w:ascii="Arial" w:hAnsi="Arial"/>
                <w:sz w:val="16"/>
                <w:szCs w:val="16"/>
              </w:rPr>
              <w:t>906,00</w:t>
            </w:r>
          </w:p>
        </w:tc>
        <w:tc>
          <w:tcPr>
            <w:tcW w:w="738" w:type="dxa"/>
            <w:tcBorders>
              <w:start w:val="single" w:sz="2" w:space="0" w:color="000000"/>
              <w:bottom w:val="single" w:sz="2" w:space="0" w:color="000000"/>
            </w:tcBorders>
          </w:tcPr>
          <w:p>
            <w:pPr>
              <w:pStyle w:val="Style22"/>
              <w:snapToGrid w:val="false"/>
              <w:jc w:val="both"/>
              <w:rPr>
                <w:rFonts w:ascii="Arial" w:hAnsi="Arial"/>
                <w:sz w:val="16"/>
                <w:szCs w:val="16"/>
              </w:rPr>
            </w:pPr>
            <w:r>
              <w:rPr>
                <w:rFonts w:ascii="Arial" w:hAnsi="Arial"/>
                <w:sz w:val="16"/>
                <w:szCs w:val="16"/>
              </w:rPr>
            </w:r>
          </w:p>
        </w:tc>
        <w:tc>
          <w:tcPr>
            <w:tcW w:w="681" w:type="dxa"/>
            <w:tcBorders>
              <w:start w:val="single" w:sz="2" w:space="0" w:color="000000"/>
              <w:bottom w:val="single" w:sz="2" w:space="0" w:color="000000"/>
              <w:end w:val="single" w:sz="2" w:space="0" w:color="000000"/>
            </w:tcBorders>
          </w:tcPr>
          <w:p>
            <w:pPr>
              <w:pStyle w:val="Style22"/>
              <w:snapToGrid w:val="false"/>
              <w:jc w:val="both"/>
              <w:rPr>
                <w:rFonts w:ascii="Arial" w:hAnsi="Arial"/>
                <w:sz w:val="16"/>
                <w:szCs w:val="16"/>
              </w:rPr>
            </w:pPr>
            <w:r>
              <w:rPr>
                <w:rFonts w:ascii="Arial" w:hAnsi="Arial"/>
                <w:sz w:val="16"/>
                <w:szCs w:val="16"/>
              </w:rPr>
            </w:r>
          </w:p>
        </w:tc>
      </w:tr>
    </w:tbl>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2.2. Медицинские  услуги предоставляются  амбулаторно по адресу: г. Новокузнецк, пр. Строителей, 52. </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2.3. Срок предоставления медицинских услуг (составления и выдачи Акта медицинского освидетельствования) составляет не более 10 (Десяти) рабочих дней с момента оплаты. В случае, если медицинское освидетельствование не требует проведения химико-токсикологических исследований, Акт выдается в день обращения. </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2.4. При оказании медицинских услуг Исполнитель применяет порядки оказания медицинской помощи, клинические рекомендации и стандарты медицинской помощи, информация о которых предоставляется Потребителю (Заказчику) в доступной форме.</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2.5. Медицинские услуги могут оказываться в полном объёме стандарта медицинской помощи либо по просьбе Потребителя (Заказчика) в виде осуществления отдельных консультаций или медицинских вмешательств, а также в объёме, превышающем объём выполняемого стандарта медицинской помощи. Такая просьба оформляется в виде письменного согласия Заказчика (если Заказчик является Потребителем) или письменного согласия Потребителя и Заказчика.</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3. Права и обязанности Сторон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3.1. </w:t>
      </w:r>
      <w:r>
        <w:rPr>
          <w:rFonts w:eastAsia="Times New Roman" w:cs="Arial" w:ascii="Arial" w:hAnsi="Arial"/>
          <w:b/>
          <w:bCs/>
          <w:color w:val="000000"/>
          <w:sz w:val="17"/>
          <w:szCs w:val="17"/>
        </w:rPr>
        <w:t>Исполнитель обязан: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 обеспечить соблюдение Порядка проведения медицинского освидетельствования на состояние опьянения (алкогольного, наркотического или иного токсического), </w:t>
      </w:r>
      <w:bookmarkStart w:id="0" w:name="_GoBack"/>
      <w:r>
        <w:rPr>
          <w:rFonts w:eastAsia="Times New Roman" w:cs="Arial" w:ascii="Arial" w:hAnsi="Arial"/>
          <w:bCs/>
          <w:color w:val="000000"/>
          <w:sz w:val="17"/>
          <w:szCs w:val="17"/>
        </w:rPr>
        <w:t>Порядка  оказания медицинской помощи</w:t>
      </w:r>
      <w:bookmarkEnd w:id="0"/>
      <w:r>
        <w:rPr>
          <w:rFonts w:eastAsia="Times New Roman" w:cs="Arial" w:ascii="Arial" w:hAnsi="Arial"/>
          <w:bCs/>
          <w:color w:val="000000"/>
          <w:sz w:val="17"/>
          <w:szCs w:val="17"/>
        </w:rPr>
        <w:t>,  клинических рекомендаций, а также стандартов медицинской помощи, в случае если медицинская помощь предоставлялась в объёме стандартов;</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выдать Потребителю (законному представителю Потребителя) после исполнения договора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соответствии с нормативно-правовыми актами, утвержденным уполномоченным федеральным органом исполнительной власти, без взимания дополнительной платы;</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по заявлению Заказчика и (или) Потребителя (при наличии согласия Потребителя или его законного представителя) выдать документы, подтверждающие фактические расходы на оказанные медицинские услуги, для целей предоставления социального налогового вычета: копию договора, справку об оплате медицинских услуг по форме, утверждённой уполномоченным органом, а также рецептурный бланк или выписку из медицинской документации (при назначении лекарственных препаратов).</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3.2. </w:t>
      </w:r>
      <w:r>
        <w:rPr>
          <w:rFonts w:eastAsia="Times New Roman" w:cs="Arial" w:ascii="Arial" w:hAnsi="Arial"/>
          <w:b/>
          <w:bCs/>
          <w:color w:val="000000"/>
          <w:sz w:val="17"/>
          <w:szCs w:val="17"/>
        </w:rPr>
        <w:t>Исполнитель имеет право:</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определять объем обследований и исследований, необходимых для оказания медицинских услуг, в рамках законодательства РФ в области оказания наркологической помощи;</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проводить заседание врачебной комиссии для вынесения заключения о состоянии здоровья Потребителя.</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3.3. </w:t>
      </w:r>
      <w:r>
        <w:rPr>
          <w:rFonts w:eastAsia="Times New Roman" w:cs="Arial" w:ascii="Arial" w:hAnsi="Arial"/>
          <w:b/>
          <w:bCs/>
          <w:color w:val="000000"/>
          <w:sz w:val="17"/>
          <w:szCs w:val="17"/>
        </w:rPr>
        <w:t>Потребитель (Заказчик) обязан: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оплатить медицинские услуги;</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сохранять документ, подтверждающий факт оплаты услуг, до окончания срока оказания услуг.</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3.4. </w:t>
      </w:r>
      <w:r>
        <w:rPr>
          <w:rFonts w:eastAsia="Times New Roman" w:cs="Arial" w:ascii="Arial" w:hAnsi="Arial"/>
          <w:b/>
          <w:bCs/>
          <w:color w:val="000000"/>
          <w:sz w:val="17"/>
          <w:szCs w:val="17"/>
        </w:rPr>
        <w:t>Потребитель (Заказчик) имеет право:</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  получать по требованию Потребителя информацию о состоянии здоровья Потребителя, об используемых при предоставлении услуг лекарственных препаратах и медицинских изделиях. </w:t>
      </w:r>
    </w:p>
    <w:p>
      <w:pPr>
        <w:pStyle w:val="Normal"/>
        <w:jc w:val="center"/>
        <w:rPr>
          <w:rFonts w:ascii="Arial" w:hAnsi="Arial" w:eastAsia="Times New Roman" w:cs="Arial"/>
          <w:b/>
          <w:bCs/>
          <w:color w:val="000000"/>
          <w:sz w:val="17"/>
          <w:szCs w:val="17"/>
        </w:rPr>
      </w:pPr>
      <w:r>
        <w:rPr>
          <w:rStyle w:val="Strong"/>
          <w:rFonts w:eastAsia="Times New Roman" w:cs="Arial" w:ascii="Arial" w:hAnsi="Arial"/>
          <w:color w:val="000000"/>
          <w:sz w:val="17"/>
          <w:szCs w:val="17"/>
        </w:rPr>
        <w:t>4. Стоимость и порядок оплаты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4.1. Стоимость медицинских услуг определяется согласно Прейскуранту цен платных медицинских услуг (далее – Прейскурант) Исполнителя, действующему на момент оказания медицинских услуг, и количеству необходимых услуг на основании п. 2.1.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4.2. Оплата медицинских услуг производится Потребителем (Заказчиком) в размере 100% стоимости медицинских услуг </w:t>
      </w:r>
      <w:bookmarkStart w:id="1" w:name="_Hlk144324907"/>
      <w:r>
        <w:rPr>
          <w:rFonts w:eastAsia="Times New Roman" w:cs="Arial" w:ascii="Arial" w:hAnsi="Arial"/>
          <w:color w:val="000000"/>
          <w:sz w:val="17"/>
          <w:szCs w:val="17"/>
        </w:rPr>
        <w:t>до момента оказания услуг</w:t>
      </w:r>
      <w:bookmarkEnd w:id="1"/>
      <w:r>
        <w:rPr>
          <w:rFonts w:eastAsia="Times New Roman" w:cs="Arial" w:ascii="Arial" w:hAnsi="Arial"/>
          <w:color w:val="000000"/>
          <w:sz w:val="17"/>
          <w:szCs w:val="17"/>
        </w:rPr>
        <w:t xml:space="preserve"> путем внесения наличных денежных средств в кассу Исполнителя или путем использования национальных платежных инструментов.</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4.3. Потребителю (Заказчику) после оплаты выдаётся документ, подтверждающий факт осуществления расчёта (кассовый чек или бланк строгой отчётности, а в случаях, предусмотренных законодательством, – иной подтверждающий документ).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4.4. В случае если при предоставлении медицинских услуг выявится необходимость оказания дополнительных платных услуг, не предусмотренных Договором, Исполнитель обязан предупредить об этом Потребителя (Заказчика). Без согласия Потребителя (Заказчика) такие услуги не оказываются. При достижении согласия Стороны подписывают дополнительное соглашение.</w:t>
      </w:r>
    </w:p>
    <w:p>
      <w:pPr>
        <w:pStyle w:val="Normal"/>
        <w:jc w:val="center"/>
        <w:rPr>
          <w:rFonts w:ascii="Arial" w:hAnsi="Arial" w:eastAsia="Times New Roman" w:cs="Arial"/>
          <w:color w:val="000000"/>
          <w:sz w:val="17"/>
          <w:szCs w:val="17"/>
        </w:rPr>
      </w:pPr>
      <w:r>
        <w:rPr>
          <w:rStyle w:val="Strong"/>
          <w:rFonts w:eastAsia="Times New Roman" w:cs="Arial" w:ascii="Arial" w:hAnsi="Arial"/>
          <w:color w:val="000000"/>
          <w:sz w:val="17"/>
          <w:szCs w:val="17"/>
        </w:rPr>
        <w:t>5. Ответственность сторон</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5.1. За неисполнение или ненадлежащее исполнение обязательств по Договору, Стороны несут ответственность в порядке, предусмотренном действующим законодательством РФ.</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5.2. Вред, причиненный жизни или здоровью Потребителя в результате оказания  медицинских услуг ненадлежащего качества, подлежит возмещению Исполнителем в соответствии с законодательством Российской Федерации.</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6. Порядок изменения и расторжения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6.1. Договор может быть изменен или расторгнут по взаимному согласию Сторон путем подписания письменного соглашения.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6.2. Договор расторгается в случае отказа Потребителя после заключения договора от получения медицинских услуг,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6.2.1. Отказ Потребителя от получения медицинских услуг по Договору оформляется в письменной форме и направляется Исполнителю. Исполнитель информирует Потребителя (Заказчика) о расторжении Договора по инициативе Потребителя и возвращает уплаченные Потребителем денежные средства, удерживая фактически понесенные Исполнителем расходы, связанные с исполнением обязательств по договору, в течение 10 дней с момента получения отказа Потребителя. </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7. Заключительные положения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7.1. Договор заключён в 2-х экземплярах, имеющих одинаковую юридическую силу, по одному экземпляру для каждой Стороны. В случае если Договор заключается между Исполнителем и Заказчиком в пользу Потребителя, то Договор заключается в 3-х экземплярах, один из которых находится у Исполнителя, второй – у Заказчика, третий – у Потребителя.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7.2. Договор вступает в силу с момента подписания его сторонами и действует до полного исполнения сторонами своих обязательств.</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7.3. Подписывая Договор, Потребитель (Заказчик) подтверждает, что:</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а) осознает и понимает предоставленную ему в полном объеме и в доступной форме информацию:</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Отказ от заключения настоящего Договора и (или) от предлагаемых платных медицинских услуг не может быть причиной уменьшения видов и объёмов медицинской помощи, оказываемой Потребителю бесплатно.</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возможности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медицинских работниках, отвечающих за предоставление соответствующей медицинской услуги (профессиональное образование и квалификация, график работы). Информация размещена на информационных стендах (стойках) Исполнителя, а также на сайте Исполнителя https://nardis.su в сети «Интернет»;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б) ознакомлен с Порядком оказания медицинской помощи по профилю «психиатрия-наркология» (утв. Приказом Минздрава России от 13.11.2025 № 666н), клиническими рекомендациями, стандартами медицинской помощи, применяемыми при предоставлении медицинских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в) добровольно согласился на получение медицинских услуг на платной основе, оказываемых Исполнителем в соответствии с подпунктом «г» пункта 8 Правил предоставления медицинскими организациями платных медицинских услуг (при самостоятельном обращении).                                                                    </w:t>
      </w:r>
      <w:r>
        <w:rPr>
          <w:rFonts w:eastAsia="Times New Roman" w:cs="Arial" w:ascii="Arial" w:hAnsi="Arial"/>
          <w:b/>
          <w:bCs/>
          <w:color w:val="000000"/>
          <w:sz w:val="17"/>
          <w:szCs w:val="17"/>
        </w:rPr>
        <w:t>8. Реквизиты и подписи Сторон</w:t>
      </w:r>
    </w:p>
    <w:tbl>
      <w:tblPr>
        <w:tblStyle w:val="afa"/>
        <w:tblW w:w="10685"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2036"/>
        <w:gridCol w:w="2638"/>
        <w:gridCol w:w="2720"/>
        <w:gridCol w:w="425"/>
        <w:gridCol w:w="2866"/>
      </w:tblGrid>
      <w:tr>
        <w:trPr/>
        <w:tc>
          <w:tcPr>
            <w:tcW w:w="2036" w:type="dxa"/>
            <w:tcBorders>
              <w:top w:val="nil"/>
              <w:start w:val="nil"/>
              <w:bottom w:val="nil"/>
              <w:end w:val="nil"/>
            </w:tcBorders>
          </w:tcPr>
          <w:p>
            <w:pPr>
              <w:pStyle w:val="Normal"/>
              <w:widowControl/>
              <w:suppressAutoHyphens w:val="true"/>
              <w:spacing w:before="0" w:after="0"/>
              <w:jc w:val="center"/>
              <w:rPr>
                <w:rFonts w:ascii="Arial" w:hAnsi="Arial" w:eastAsia="Times New Roman" w:cs="Arial"/>
                <w:b/>
                <w:bCs/>
                <w:color w:val="000000"/>
                <w:sz w:val="17"/>
                <w:szCs w:val="17"/>
              </w:rPr>
            </w:pPr>
            <w:r>
              <w:rPr>
                <w:rFonts w:eastAsia="Times New Roman" w:cs="Arial" w:ascii="Arial" w:hAnsi="Arial"/>
                <w:b/>
                <w:kern w:val="0"/>
                <w:sz w:val="17"/>
                <w:szCs w:val="17"/>
                <w:lang w:val="ru-RU" w:eastAsia="ru-RU" w:bidi="ar-SA"/>
              </w:rPr>
              <w:t>Исполнитель:</w:t>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720" w:type="dxa"/>
            <w:tcBorders>
              <w:top w:val="nil"/>
              <w:start w:val="nil"/>
              <w:bottom w:val="nil"/>
              <w:end w:val="nil"/>
            </w:tcBorders>
          </w:tcPr>
          <w:p>
            <w:pPr>
              <w:pStyle w:val="Normal"/>
              <w:widowControl/>
              <w:suppressAutoHyphens w:val="true"/>
              <w:spacing w:before="0" w:after="0"/>
              <w:jc w:val="both"/>
              <w:rPr>
                <w:rFonts w:ascii="Arial" w:hAnsi="Arial" w:eastAsia="Times New Roman" w:cs="Arial"/>
                <w:b/>
                <w:bCs/>
                <w:color w:val="000000"/>
                <w:sz w:val="17"/>
                <w:szCs w:val="17"/>
              </w:rPr>
            </w:pPr>
            <w:r>
              <w:rPr>
                <w:rFonts w:eastAsia="Times New Roman" w:cs="Arial" w:ascii="Arial" w:hAnsi="Arial"/>
                <w:b/>
                <w:bCs/>
                <w:color w:val="000000"/>
                <w:kern w:val="0"/>
                <w:sz w:val="17"/>
                <w:szCs w:val="17"/>
                <w:lang w:val="ru-RU" w:eastAsia="ru-RU" w:bidi="ar-SA"/>
              </w:rPr>
              <w:t>Заказчик:</w:t>
            </w:r>
          </w:p>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kern w:val="0"/>
                <w:sz w:val="17"/>
                <w:szCs w:val="17"/>
                <w:lang w:val="ru-RU" w:eastAsia="ru-RU" w:bidi="ar-SA"/>
              </w:rPr>
              <w:t>Потребитель/законный представитель Потребителя:</w:t>
            </w:r>
          </w:p>
        </w:tc>
      </w:tr>
      <w:tr>
        <w:trPr/>
        <w:tc>
          <w:tcPr>
            <w:tcW w:w="2036" w:type="dxa"/>
            <w:vMerge w:val="restart"/>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ГБУЗ  ННД, 654005,</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г. Новокузнецк,</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пр. Строителей, 61,</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ОГРН 1024201475000,</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ИНН 4217013595</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И.о. главного врача Георгиевская О.В.</w:t>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Фамилия:</w:t>
            </w:r>
          </w:p>
        </w:tc>
        <w:tc>
          <w:tcPr>
            <w:tcW w:w="2720"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Имя:</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Отчество (при наличии):</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Адрес места жительства:</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Иные адреса (при наличии):</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Паспорт:</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Телефон:</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242" w:hRule="atLeast"/>
        </w:trPr>
        <w:tc>
          <w:tcPr>
            <w:tcW w:w="2036" w:type="dxa"/>
            <w:tcBorders>
              <w:top w:val="nil"/>
              <w:start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vAlign w:val="bottom"/>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Подпись:</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1063" w:hRule="atLeast"/>
        </w:trPr>
        <w:tc>
          <w:tcPr>
            <w:tcW w:w="2036" w:type="dxa"/>
            <w:tcBorders>
              <w:top w:val="nil"/>
              <w:start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Наименование ЮЛ:</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Юридический адрес:</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ОГРН:</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Должность и Ф.И.О. подписанта:</w:t>
            </w:r>
          </w:p>
        </w:tc>
        <w:tc>
          <w:tcPr>
            <w:tcW w:w="2720"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bl>
    <w:p>
      <w:pPr>
        <w:pStyle w:val="Normal"/>
        <w:rPr/>
      </w:pPr>
      <w:r>
        <w:rPr/>
      </w:r>
    </w:p>
    <w:sectPr>
      <w:type w:val="nextPage"/>
      <w:pgSz w:w="11906" w:h="16838"/>
      <w:pgMar w:left="851"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Segoe UI">
    <w:charset w:val="01"/>
    <w:family w:val="swiss"/>
    <w:pitch w:val="default"/>
  </w:font>
  <w:font w:name="PT Astra Serif">
    <w:charset w:val="01"/>
    <w:family w:val="roman"/>
    <w:pitch w:val="default"/>
  </w:font>
  <w:font w:name="Arial">
    <w:charset w:val="01"/>
    <w:family w:val="swiss"/>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33ea4"/>
    <w:pPr>
      <w:widowControl/>
      <w:suppressAutoHyphens w:val="true"/>
      <w:bidi w:val="0"/>
      <w:spacing w:before="0" w:after="0"/>
      <w:jc w:val="start"/>
    </w:pPr>
    <w:rPr>
      <w:rFonts w:ascii="Times New Roman" w:hAnsi="Times New Roman" w:eastAsia="" w:cs="Times New Roman" w:eastAsiaTheme="minorEastAsia"/>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Pr>
      <w:b/>
      <w:bCs/>
    </w:rPr>
  </w:style>
  <w:style w:type="character" w:styleId="admin" w:customStyle="1">
    <w:name w:val="admin"/>
    <w:basedOn w:val="DefaultParagraphFont"/>
    <w:qFormat/>
    <w:rPr/>
  </w:style>
  <w:style w:type="character" w:styleId="copy" w:customStyle="1">
    <w:name w:val="copy"/>
    <w:basedOn w:val="DefaultParagraphFont"/>
    <w:qFormat/>
    <w:rPr/>
  </w:style>
  <w:style w:type="character" w:styleId="head" w:customStyle="1">
    <w:name w:val="head"/>
    <w:basedOn w:val="DefaultParagraphFont"/>
    <w:qFormat/>
    <w:rPr/>
  </w:style>
  <w:style w:type="character" w:styleId="Style14" w:customStyle="1">
    <w:name w:val="Текст выноски Знак"/>
    <w:basedOn w:val="DefaultParagraphFont"/>
    <w:link w:val="BalloonText"/>
    <w:uiPriority w:val="99"/>
    <w:semiHidden/>
    <w:qFormat/>
    <w:rsid w:val="00672ca7"/>
    <w:rPr>
      <w:rFonts w:ascii="Segoe UI" w:hAnsi="Segoe UI" w:eastAsia="" w:cs="Segoe UI" w:eastAsiaTheme="minorEastAsia"/>
      <w:sz w:val="18"/>
      <w:szCs w:val="18"/>
    </w:rPr>
  </w:style>
  <w:style w:type="character" w:styleId="Hyperlink">
    <w:name w:val="Hyperlink"/>
    <w:basedOn w:val="DefaultParagraphFont"/>
    <w:uiPriority w:val="99"/>
    <w:unhideWhenUsed/>
    <w:rsid w:val="00670a0d"/>
    <w:rPr>
      <w:color w:themeColor="hyperlink" w:val="0563C1"/>
      <w:u w:val="single"/>
    </w:rPr>
  </w:style>
  <w:style w:type="character" w:styleId="UnresolvedMention" w:customStyle="1">
    <w:name w:val="Unresolved Mention"/>
    <w:basedOn w:val="DefaultParagraphFont"/>
    <w:uiPriority w:val="99"/>
    <w:semiHidden/>
    <w:unhideWhenUsed/>
    <w:qFormat/>
    <w:rsid w:val="00670a0d"/>
    <w:rPr>
      <w:color w:val="605E5C"/>
      <w:shd w:fill="E1DFDD" w:val="clear"/>
    </w:rPr>
  </w:style>
  <w:style w:type="character" w:styleId="CommentReference">
    <w:name w:val="annotation reference"/>
    <w:basedOn w:val="DefaultParagraphFont"/>
    <w:uiPriority w:val="99"/>
    <w:semiHidden/>
    <w:unhideWhenUsed/>
    <w:qFormat/>
    <w:rsid w:val="00aa08b4"/>
    <w:rPr>
      <w:sz w:val="16"/>
      <w:szCs w:val="16"/>
    </w:rPr>
  </w:style>
  <w:style w:type="character" w:styleId="Style15" w:customStyle="1">
    <w:name w:val="Текст примечания Знак"/>
    <w:basedOn w:val="DefaultParagraphFont"/>
    <w:uiPriority w:val="99"/>
    <w:semiHidden/>
    <w:qFormat/>
    <w:rsid w:val="00aa08b4"/>
    <w:rPr>
      <w:rFonts w:eastAsia="" w:eastAsiaTheme="minorEastAsia"/>
    </w:rPr>
  </w:style>
  <w:style w:type="character" w:styleId="Style16" w:customStyle="1">
    <w:name w:val="Тема примечания Знак"/>
    <w:basedOn w:val="Style15"/>
    <w:link w:val="annotationsubject"/>
    <w:uiPriority w:val="99"/>
    <w:semiHidden/>
    <w:qFormat/>
    <w:rsid w:val="00aa08b4"/>
    <w:rPr>
      <w:rFonts w:eastAsia="" w:eastAsiaTheme="minorEastAsia"/>
      <w:b/>
      <w:bCs/>
    </w:rPr>
  </w:style>
  <w:style w:type="character" w:styleId="FollowedHyperlink">
    <w:name w:val="FollowedHyperlink"/>
    <w:basedOn w:val="DefaultParagraphFont"/>
    <w:uiPriority w:val="99"/>
    <w:semiHidden/>
    <w:unhideWhenUsed/>
    <w:rsid w:val="00a77940"/>
    <w:rPr>
      <w:color w:themeColor="followedHyperlink" w:val="954F72"/>
      <w:u w:val="single"/>
    </w:rPr>
  </w:style>
  <w:style w:type="character" w:styleId="Style17" w:customStyle="1">
    <w:name w:val="Верхний колонтитул Знак"/>
    <w:basedOn w:val="DefaultParagraphFont"/>
    <w:uiPriority w:val="99"/>
    <w:qFormat/>
    <w:rsid w:val="007b56a3"/>
    <w:rPr>
      <w:rFonts w:eastAsia="" w:eastAsiaTheme="minorEastAsia"/>
      <w:sz w:val="24"/>
      <w:szCs w:val="24"/>
    </w:rPr>
  </w:style>
  <w:style w:type="character" w:styleId="Style18" w:customStyle="1">
    <w:name w:val="Нижний колонтитул Знак"/>
    <w:basedOn w:val="DefaultParagraphFont"/>
    <w:uiPriority w:val="99"/>
    <w:qFormat/>
    <w:rsid w:val="007b56a3"/>
    <w:rPr>
      <w:rFonts w:eastAsia="" w:eastAsiaTheme="minorEastAsia"/>
      <w:sz w:val="24"/>
      <w:szCs w:val="24"/>
    </w:rPr>
  </w:style>
  <w:style w:type="paragraph" w:styleId="Style19" w:customStyle="1">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rPr>
  </w:style>
  <w:style w:type="paragraph" w:styleId="Style20" w:customStyle="1">
    <w:name w:val="Указатель"/>
    <w:basedOn w:val="Normal"/>
    <w:qFormat/>
    <w:pPr>
      <w:suppressLineNumbers/>
    </w:pPr>
    <w:rPr>
      <w:rFonts w:ascii="PT Astra Serif" w:hAnsi="PT Astra Serif" w:cs="FreeSans"/>
    </w:rPr>
  </w:style>
  <w:style w:type="paragraph" w:styleId="user" w:customStyle="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IndexHeading">
    <w:name w:val="index heading"/>
    <w:basedOn w:val="Normal"/>
    <w:qFormat/>
    <w:pPr>
      <w:suppressLineNumbers/>
    </w:pPr>
    <w:rPr>
      <w:rFonts w:ascii="PT Astra Serif" w:hAnsi="PT Astra Serif" w:cs="FreeSans"/>
    </w:rPr>
  </w:style>
  <w:style w:type="paragraph" w:styleId="msonormal" w:customStyle="1">
    <w:name w:val="msonormal"/>
    <w:basedOn w:val="Normal"/>
    <w:qFormat/>
    <w:pPr>
      <w:spacing w:beforeAutospacing="1" w:afterAutospacing="1"/>
    </w:pPr>
    <w:rPr/>
  </w:style>
  <w:style w:type="paragraph" w:styleId="NormalWeb">
    <w:name w:val="Normal (Web)"/>
    <w:basedOn w:val="Normal"/>
    <w:uiPriority w:val="99"/>
    <w:unhideWhenUsed/>
    <w:qFormat/>
    <w:pPr>
      <w:spacing w:beforeAutospacing="1" w:afterAutospacing="1"/>
    </w:pPr>
    <w:rPr/>
  </w:style>
  <w:style w:type="paragraph" w:styleId="head1" w:customStyle="1">
    <w:name w:val="head1"/>
    <w:basedOn w:val="Normal"/>
    <w:qFormat/>
    <w:pPr>
      <w:spacing w:beforeAutospacing="1" w:afterAutospacing="1"/>
    </w:pPr>
    <w:rPr>
      <w:vanish/>
    </w:rPr>
  </w:style>
  <w:style w:type="paragraph" w:styleId="admin1" w:customStyle="1">
    <w:name w:val="admin1"/>
    <w:basedOn w:val="Normal"/>
    <w:qFormat/>
    <w:pPr>
      <w:spacing w:beforeAutospacing="1" w:afterAutospacing="1"/>
    </w:pPr>
    <w:rPr/>
  </w:style>
  <w:style w:type="paragraph" w:styleId="head2" w:customStyle="1">
    <w:name w:val="head2"/>
    <w:basedOn w:val="Normal"/>
    <w:qFormat/>
    <w:pPr>
      <w:spacing w:beforeAutospacing="1" w:afterAutospacing="1"/>
    </w:pPr>
    <w:rPr>
      <w:vanish/>
    </w:rPr>
  </w:style>
  <w:style w:type="paragraph" w:styleId="admin2" w:customStyle="1">
    <w:name w:val="admin2"/>
    <w:basedOn w:val="Normal"/>
    <w:qFormat/>
    <w:pPr>
      <w:spacing w:beforeAutospacing="1" w:afterAutospacing="1"/>
    </w:pPr>
    <w:rPr/>
  </w:style>
  <w:style w:type="paragraph" w:styleId="BalloonText">
    <w:name w:val="Balloon Text"/>
    <w:basedOn w:val="Normal"/>
    <w:link w:val="Style14"/>
    <w:uiPriority w:val="99"/>
    <w:semiHidden/>
    <w:unhideWhenUsed/>
    <w:qFormat/>
    <w:rsid w:val="00672ca7"/>
    <w:pPr/>
    <w:rPr>
      <w:rFonts w:ascii="Segoe UI" w:hAnsi="Segoe UI" w:cs="Segoe UI"/>
      <w:sz w:val="18"/>
      <w:szCs w:val="18"/>
    </w:rPr>
  </w:style>
  <w:style w:type="paragraph" w:styleId="CommentText">
    <w:name w:val="annotation text"/>
    <w:basedOn w:val="Normal"/>
    <w:link w:val="Style15"/>
    <w:uiPriority w:val="99"/>
    <w:semiHidden/>
    <w:unhideWhenUsed/>
    <w:rsid w:val="00aa08b4"/>
    <w:pPr/>
    <w:rPr>
      <w:sz w:val="20"/>
      <w:szCs w:val="20"/>
    </w:rPr>
  </w:style>
  <w:style w:type="paragraph" w:styleId="annotationsubject">
    <w:name w:val="annotation subject"/>
    <w:basedOn w:val="CommentText"/>
    <w:next w:val="CommentText"/>
    <w:link w:val="Style16"/>
    <w:uiPriority w:val="99"/>
    <w:semiHidden/>
    <w:unhideWhenUsed/>
    <w:qFormat/>
    <w:rsid w:val="00aa08b4"/>
    <w:pPr/>
    <w:rPr>
      <w:b/>
      <w:bCs/>
    </w:rPr>
  </w:style>
  <w:style w:type="paragraph" w:styleId="ConsPlusNormal" w:customStyle="1">
    <w:name w:val="ConsPlusNormal"/>
    <w:qFormat/>
    <w:rsid w:val="00fb6ddf"/>
    <w:pPr>
      <w:widowControl w:val="false"/>
      <w:suppressAutoHyphens w:val="true"/>
      <w:bidi w:val="0"/>
      <w:spacing w:before="0" w:after="0"/>
      <w:jc w:val="start"/>
    </w:pPr>
    <w:rPr>
      <w:rFonts w:ascii="Times New Roman" w:hAnsi="Times New Roman" w:eastAsia="" w:cs="Times New Roman" w:eastAsiaTheme="minorEastAsia"/>
      <w:color w:val="auto"/>
      <w:kern w:val="0"/>
      <w:sz w:val="24"/>
      <w:szCs w:val="24"/>
      <w:lang w:val="ru-RU" w:eastAsia="ru-RU" w:bidi="ar-SA"/>
    </w:rPr>
  </w:style>
  <w:style w:type="paragraph" w:styleId="Style21" w:customStyle="1">
    <w:name w:val="Колонтитулы"/>
    <w:basedOn w:val="Normal"/>
    <w:qFormat/>
    <w:pPr/>
    <w:rPr/>
  </w:style>
  <w:style w:type="paragraph" w:styleId="user2" w:customStyle="1">
    <w:name w:val="Колонтитулы (user)"/>
    <w:basedOn w:val="Normal"/>
    <w:qFormat/>
    <w:pPr/>
    <w:rPr/>
  </w:style>
  <w:style w:type="paragraph" w:styleId="Header">
    <w:name w:val="header"/>
    <w:basedOn w:val="Normal"/>
    <w:link w:val="Style17"/>
    <w:uiPriority w:val="99"/>
    <w:unhideWhenUsed/>
    <w:rsid w:val="007b56a3"/>
    <w:pPr>
      <w:tabs>
        <w:tab w:val="clear" w:pos="708"/>
        <w:tab w:val="center" w:pos="4677" w:leader="none"/>
        <w:tab w:val="right" w:pos="9355" w:leader="none"/>
      </w:tabs>
    </w:pPr>
    <w:rPr/>
  </w:style>
  <w:style w:type="paragraph" w:styleId="Footer">
    <w:name w:val="footer"/>
    <w:basedOn w:val="Normal"/>
    <w:link w:val="Style18"/>
    <w:uiPriority w:val="99"/>
    <w:unhideWhenUsed/>
    <w:rsid w:val="007b56a3"/>
    <w:pPr>
      <w:tabs>
        <w:tab w:val="clear" w:pos="708"/>
        <w:tab w:val="center" w:pos="4677" w:leader="none"/>
        <w:tab w:val="right" w:pos="9355" w:leader="none"/>
      </w:tabs>
    </w:pPr>
    <w:rPr/>
  </w:style>
  <w:style w:type="paragraph" w:styleId="Style22" w:customStyle="1">
    <w:name w:val="Содержимое таблицы"/>
    <w:basedOn w:val="Normal"/>
    <w:qFormat/>
    <w:pPr>
      <w:widowControl w:val="false"/>
      <w:suppressLineNumbers/>
    </w:pPr>
    <w:rPr/>
  </w:style>
  <w:style w:type="paragraph" w:styleId="user3" w:customStyle="1">
    <w:name w:val="Содержимое таблицы (user)"/>
    <w:basedOn w:val="Normal"/>
    <w:qFormat/>
    <w:pPr>
      <w:widowControl w:val="false"/>
      <w:suppressLineNumbers/>
    </w:pPr>
    <w:rPr/>
  </w:style>
  <w:style w:type="paragraph" w:styleId="user4" w:customStyle="1">
    <w:name w:val="Заголовок таблицы (user)"/>
    <w:basedOn w:val="user3"/>
    <w:qFormat/>
    <w:pPr>
      <w:jc w:val="center"/>
    </w:pPr>
    <w:rPr>
      <w:b/>
      <w:bCs/>
    </w:rPr>
  </w:style>
  <w:style w:type="numbering" w:styleId="Style23"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a">
    <w:name w:val="Table Grid"/>
    <w:basedOn w:val="a1"/>
    <w:uiPriority w:val="39"/>
    <w:rsid w:val="00c414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A90E6-3080-4B71-9B5B-EEE0C9364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Application>LibreOffice/25.8.3.2$Linux_X86_64 LibreOffice_project/580$Build-2</Application>
  <AppVersion>15.0000</AppVersion>
  <Pages>2</Pages>
  <Words>1377</Words>
  <Characters>10848</Characters>
  <CharactersWithSpaces>12200</CharactersWithSpaces>
  <Paragraphs>123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2025-11-01T01:46:00Z</dcterms:created>
  <dc:creator>Ольга Райх</dc:creator>
  <dc:description/>
  <dc:language>ru-RU</dc:language>
  <cp:lastModifiedBy/>
  <cp:lastPrinted>2023-11-09T08:14:00Z</cp:lastPrinted>
  <dcterms:modified xsi:type="dcterms:W3CDTF">2026-07-31T10:04:58Z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